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B07FB5" w14:paraId="701B0364" w14:textId="77777777" w:rsidTr="00D072A1">
        <w:trPr>
          <w:trHeight w:val="1408"/>
        </w:trPr>
        <w:tc>
          <w:tcPr>
            <w:tcW w:w="4672" w:type="dxa"/>
          </w:tcPr>
          <w:p w14:paraId="794DC062" w14:textId="77777777" w:rsidR="00B07FB5" w:rsidRDefault="00B07FB5"/>
        </w:tc>
        <w:tc>
          <w:tcPr>
            <w:tcW w:w="4672" w:type="dxa"/>
          </w:tcPr>
          <w:p w14:paraId="67203950" w14:textId="5E671888" w:rsidR="00B07FB5" w:rsidRPr="002A728D" w:rsidRDefault="00B07FB5" w:rsidP="00C10301">
            <w:pPr>
              <w:tabs>
                <w:tab w:val="center" w:pos="0"/>
              </w:tabs>
              <w:ind w:firstLine="602"/>
              <w:rPr>
                <w:rFonts w:ascii="Times New Roman" w:hAnsi="Times New Roman"/>
                <w:sz w:val="20"/>
                <w:szCs w:val="20"/>
              </w:rPr>
            </w:pPr>
          </w:p>
          <w:p w14:paraId="5A43A4ED" w14:textId="77777777" w:rsidR="00B07FB5" w:rsidRDefault="00B07FB5"/>
        </w:tc>
      </w:tr>
    </w:tbl>
    <w:p w14:paraId="575E17BA" w14:textId="77777777" w:rsidR="00285AE9" w:rsidRPr="00061F8E" w:rsidRDefault="00285AE9" w:rsidP="00EB595B">
      <w:pPr>
        <w:spacing w:after="0"/>
        <w:rPr>
          <w:rFonts w:ascii="Times New Roman" w:hAnsi="Times New Roman" w:cs="Times New Roman"/>
          <w:sz w:val="24"/>
          <w:szCs w:val="24"/>
        </w:rPr>
      </w:pPr>
    </w:p>
    <w:p w14:paraId="4FC112E9" w14:textId="6D9DEFD6" w:rsidR="00B07FB5" w:rsidRPr="00061F8E" w:rsidRDefault="00C10301" w:rsidP="00EB595B">
      <w:pPr>
        <w:spacing w:after="0"/>
        <w:rPr>
          <w:rFonts w:ascii="Times New Roman" w:hAnsi="Times New Roman" w:cs="Times New Roman"/>
          <w:sz w:val="24"/>
          <w:szCs w:val="24"/>
        </w:rPr>
      </w:pPr>
      <w:r w:rsidRPr="00061F8E">
        <w:rPr>
          <w:rFonts w:ascii="Times New Roman" w:eastAsia="SimSun" w:hAnsi="Times New Roman" w:cs="Times New Roman"/>
          <w:noProof/>
          <w:kern w:val="1"/>
          <w:sz w:val="24"/>
          <w:szCs w:val="24"/>
          <w:lang w:eastAsia="et-EE"/>
        </w:rPr>
        <w:drawing>
          <wp:anchor distT="0" distB="0" distL="114300" distR="114300" simplePos="0" relativeHeight="251661312" behindDoc="0" locked="0" layoutInCell="1" allowOverlap="1" wp14:anchorId="57ECFF44" wp14:editId="3A09AA52">
            <wp:simplePos x="0" y="0"/>
            <wp:positionH relativeFrom="page">
              <wp:posOffset>390525</wp:posOffset>
            </wp:positionH>
            <wp:positionV relativeFrom="margin">
              <wp:align>top</wp:align>
            </wp:positionV>
            <wp:extent cx="2876550" cy="933450"/>
            <wp:effectExtent l="0" t="0" r="0" b="0"/>
            <wp:wrapNone/>
            <wp:docPr id="1" name="Picture 1" descr="Riigi Tugiteenuste Keskus_mono_mv_va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igi Tugiteenuste Keskus_mono_mv_vap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65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FF5467" w14:textId="77777777" w:rsidR="008474C4" w:rsidRPr="00061F8E" w:rsidRDefault="008474C4" w:rsidP="00EB595B">
      <w:pPr>
        <w:spacing w:after="0"/>
        <w:rPr>
          <w:rFonts w:ascii="Times New Roman" w:hAnsi="Times New Roman" w:cs="Times New Roman"/>
          <w:sz w:val="24"/>
          <w:szCs w:val="24"/>
        </w:rPr>
      </w:pPr>
    </w:p>
    <w:tbl>
      <w:tblPr>
        <w:tblStyle w:val="TableGrid"/>
        <w:tblW w:w="950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1"/>
        <w:gridCol w:w="2321"/>
        <w:gridCol w:w="2321"/>
      </w:tblGrid>
      <w:tr w:rsidR="00842346" w14:paraId="013B640B" w14:textId="086A5206" w:rsidTr="001F38B4">
        <w:tc>
          <w:tcPr>
            <w:tcW w:w="4861" w:type="dxa"/>
          </w:tcPr>
          <w:p w14:paraId="2A55D281" w14:textId="77777777" w:rsidR="00842346" w:rsidRPr="008038CF" w:rsidRDefault="00842346" w:rsidP="00842346">
            <w:pPr>
              <w:spacing w:after="120"/>
              <w:rPr>
                <w:rFonts w:ascii="Times New Roman" w:hAnsi="Times New Roman" w:cs="Times New Roman"/>
                <w:b/>
                <w:bCs/>
                <w:sz w:val="24"/>
                <w:szCs w:val="24"/>
              </w:rPr>
            </w:pPr>
            <w:r w:rsidRPr="008038CF">
              <w:rPr>
                <w:rFonts w:ascii="Times New Roman" w:hAnsi="Times New Roman" w:cs="Times New Roman"/>
                <w:b/>
                <w:bCs/>
                <w:sz w:val="24"/>
                <w:szCs w:val="24"/>
              </w:rPr>
              <w:t>OTSUS</w:t>
            </w:r>
          </w:p>
        </w:tc>
        <w:tc>
          <w:tcPr>
            <w:tcW w:w="2321" w:type="dxa"/>
          </w:tcPr>
          <w:p w14:paraId="39796599" w14:textId="5DDEFFDB" w:rsidR="00842346" w:rsidRDefault="00842346" w:rsidP="00842346">
            <w:pPr>
              <w:ind w:left="-107"/>
              <w:rPr>
                <w:rFonts w:ascii="Times New Roman" w:hAnsi="Times New Roman" w:cs="Times New Roman"/>
                <w:sz w:val="24"/>
                <w:szCs w:val="24"/>
              </w:rPr>
            </w:pPr>
            <w:r>
              <w:rPr>
                <w:rFonts w:ascii="Times New Roman" w:hAnsi="Times New Roman" w:cs="Times New Roman"/>
                <w:sz w:val="24"/>
                <w:szCs w:val="24"/>
              </w:rPr>
              <w:fldChar w:fldCharType="begin"/>
            </w:r>
            <w:r w:rsidR="00873AF9">
              <w:rPr>
                <w:rFonts w:ascii="Times New Roman" w:hAnsi="Times New Roman" w:cs="Times New Roman"/>
                <w:sz w:val="24"/>
                <w:szCs w:val="24"/>
              </w:rPr>
              <w:instrText xml:space="preserve"> delta_regDateTime  \* MERGEFORMAT</w:instrText>
            </w:r>
            <w:r>
              <w:rPr>
                <w:rFonts w:ascii="Times New Roman" w:hAnsi="Times New Roman" w:cs="Times New Roman"/>
                <w:sz w:val="24"/>
                <w:szCs w:val="24"/>
              </w:rPr>
              <w:fldChar w:fldCharType="separate"/>
            </w:r>
            <w:r w:rsidR="00873AF9">
              <w:rPr>
                <w:rFonts w:ascii="Times New Roman" w:hAnsi="Times New Roman" w:cs="Times New Roman"/>
                <w:sz w:val="24"/>
                <w:szCs w:val="24"/>
              </w:rPr>
              <w:t>26.09.2025</w:t>
            </w:r>
            <w:r>
              <w:rPr>
                <w:rFonts w:ascii="Times New Roman" w:hAnsi="Times New Roman" w:cs="Times New Roman"/>
                <w:sz w:val="24"/>
                <w:szCs w:val="24"/>
              </w:rPr>
              <w:fldChar w:fldCharType="end"/>
            </w:r>
          </w:p>
        </w:tc>
        <w:tc>
          <w:tcPr>
            <w:tcW w:w="2321" w:type="dxa"/>
          </w:tcPr>
          <w:p w14:paraId="71D9551E" w14:textId="5A180918" w:rsidR="00842346" w:rsidRDefault="00842346" w:rsidP="00842346">
            <w:r>
              <w:rPr>
                <w:rFonts w:ascii="Times New Roman" w:hAnsi="Times New Roman" w:cs="Times New Roman"/>
                <w:sz w:val="24"/>
                <w:szCs w:val="24"/>
              </w:rPr>
              <w:t xml:space="preserve">nr </w:t>
            </w:r>
            <w:r>
              <w:rPr>
                <w:rFonts w:ascii="Times New Roman" w:hAnsi="Times New Roman" w:cs="Times New Roman"/>
                <w:sz w:val="24"/>
                <w:szCs w:val="24"/>
              </w:rPr>
              <w:fldChar w:fldCharType="begin"/>
            </w:r>
            <w:r w:rsidR="00873AF9">
              <w:rPr>
                <w:rFonts w:ascii="Times New Roman" w:hAnsi="Times New Roman" w:cs="Times New Roman"/>
                <w:sz w:val="24"/>
                <w:szCs w:val="24"/>
              </w:rPr>
              <w:instrText xml:space="preserve"> delta_regNumber  \* MERGEFORMAT</w:instrText>
            </w:r>
            <w:r>
              <w:rPr>
                <w:rFonts w:ascii="Times New Roman" w:hAnsi="Times New Roman" w:cs="Times New Roman"/>
                <w:sz w:val="24"/>
                <w:szCs w:val="24"/>
              </w:rPr>
              <w:fldChar w:fldCharType="separate"/>
            </w:r>
            <w:r w:rsidR="00873AF9">
              <w:rPr>
                <w:rFonts w:ascii="Times New Roman" w:hAnsi="Times New Roman" w:cs="Times New Roman"/>
                <w:sz w:val="24"/>
                <w:szCs w:val="24"/>
              </w:rPr>
              <w:t xml:space="preserve">11.3-1/25/4543 </w:t>
            </w:r>
            <w:r>
              <w:rPr>
                <w:rFonts w:ascii="Times New Roman" w:hAnsi="Times New Roman" w:cs="Times New Roman"/>
                <w:sz w:val="24"/>
                <w:szCs w:val="24"/>
              </w:rPr>
              <w:fldChar w:fldCharType="end"/>
            </w:r>
          </w:p>
        </w:tc>
      </w:tr>
      <w:tr w:rsidR="00842346" w14:paraId="3CA62B43" w14:textId="77777777" w:rsidTr="00A9233F">
        <w:trPr>
          <w:trHeight w:val="60"/>
        </w:trPr>
        <w:tc>
          <w:tcPr>
            <w:tcW w:w="4861" w:type="dxa"/>
          </w:tcPr>
          <w:p w14:paraId="6EB2D394" w14:textId="77777777" w:rsidR="00842346" w:rsidRDefault="00842346" w:rsidP="00842346">
            <w:pPr>
              <w:rPr>
                <w:rFonts w:ascii="Times New Roman" w:hAnsi="Times New Roman" w:cs="Times New Roman"/>
                <w:sz w:val="24"/>
                <w:szCs w:val="24"/>
              </w:rPr>
            </w:pPr>
          </w:p>
        </w:tc>
        <w:tc>
          <w:tcPr>
            <w:tcW w:w="2321" w:type="dxa"/>
          </w:tcPr>
          <w:p w14:paraId="5D6BB9B1" w14:textId="0EC2DDB0" w:rsidR="00842346" w:rsidRDefault="00842346" w:rsidP="00842346">
            <w:pPr>
              <w:ind w:left="608"/>
              <w:rPr>
                <w:rFonts w:ascii="Times New Roman" w:hAnsi="Times New Roman" w:cs="Times New Roman"/>
                <w:sz w:val="24"/>
                <w:szCs w:val="24"/>
              </w:rPr>
            </w:pPr>
          </w:p>
        </w:tc>
        <w:tc>
          <w:tcPr>
            <w:tcW w:w="2321" w:type="dxa"/>
          </w:tcPr>
          <w:p w14:paraId="08BFAEEB" w14:textId="697A2AA5" w:rsidR="00842346" w:rsidRDefault="00842346" w:rsidP="00842346">
            <w:pPr>
              <w:rPr>
                <w:rFonts w:ascii="Times New Roman" w:hAnsi="Times New Roman" w:cs="Times New Roman"/>
                <w:sz w:val="24"/>
                <w:szCs w:val="24"/>
              </w:rPr>
            </w:pPr>
          </w:p>
        </w:tc>
      </w:tr>
    </w:tbl>
    <w:p w14:paraId="39A70B0E" w14:textId="77777777" w:rsidR="005959CF" w:rsidRPr="00326AA5" w:rsidRDefault="005959CF" w:rsidP="00EB595B">
      <w:pPr>
        <w:spacing w:after="0"/>
        <w:rPr>
          <w:rFonts w:ascii="Times New Roman" w:hAnsi="Times New Roman" w:cs="Times New Roman"/>
          <w:sz w:val="24"/>
          <w:szCs w:val="24"/>
        </w:rPr>
      </w:pPr>
    </w:p>
    <w:tbl>
      <w:tblPr>
        <w:tblStyle w:val="TableGrid"/>
        <w:tblW w:w="977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2"/>
      </w:tblGrid>
      <w:tr w:rsidR="005959CF" w14:paraId="3F4C0DE5" w14:textId="77777777" w:rsidTr="005959CF">
        <w:tc>
          <w:tcPr>
            <w:tcW w:w="5104" w:type="dxa"/>
          </w:tcPr>
          <w:p w14:paraId="585FF406" w14:textId="77777777" w:rsidR="005959CF" w:rsidRDefault="005959CF" w:rsidP="00EB595B">
            <w:pPr>
              <w:rPr>
                <w:rFonts w:ascii="Times New Roman" w:eastAsia="Arial Unicode MS" w:hAnsi="Times New Roman"/>
                <w:sz w:val="24"/>
                <w:szCs w:val="24"/>
              </w:rPr>
            </w:pPr>
          </w:p>
        </w:tc>
        <w:tc>
          <w:tcPr>
            <w:tcW w:w="4672" w:type="dxa"/>
          </w:tcPr>
          <w:p w14:paraId="74215F25" w14:textId="77777777" w:rsidR="005959CF" w:rsidRDefault="005959CF" w:rsidP="00EB595B">
            <w:pPr>
              <w:rPr>
                <w:rFonts w:ascii="Times New Roman" w:eastAsia="Arial Unicode MS" w:hAnsi="Times New Roman"/>
                <w:sz w:val="24"/>
                <w:szCs w:val="24"/>
              </w:rPr>
            </w:pPr>
          </w:p>
        </w:tc>
      </w:tr>
    </w:tbl>
    <w:p w14:paraId="4A05554B" w14:textId="77777777" w:rsidR="00A9233F" w:rsidRPr="0036604D" w:rsidRDefault="00A9233F" w:rsidP="00A9233F">
      <w:pPr>
        <w:widowControl w:val="0"/>
        <w:suppressAutoHyphens/>
        <w:spacing w:after="0" w:line="240" w:lineRule="auto"/>
        <w:jc w:val="both"/>
        <w:rPr>
          <w:rFonts w:ascii="Times New Roman" w:eastAsia="SimSun" w:hAnsi="Times New Roman"/>
          <w:kern w:val="1"/>
          <w:sz w:val="24"/>
          <w:szCs w:val="24"/>
          <w:lang w:eastAsia="zh-CN" w:bidi="hi-IN"/>
        </w:rPr>
      </w:pPr>
      <w:r w:rsidRPr="0036604D">
        <w:rPr>
          <w:rFonts w:ascii="Times New Roman" w:eastAsia="SimSun" w:hAnsi="Times New Roman"/>
          <w:kern w:val="1"/>
          <w:sz w:val="24"/>
          <w:szCs w:val="24"/>
          <w:lang w:eastAsia="zh-CN" w:bidi="hi-IN"/>
        </w:rPr>
        <w:t xml:space="preserve">Haridus- ja teadusministri 16.05.2023 määruse nr 14 „“Sektoritevahelise mobiilsuse toetamine” elluviimiseks struktuuritoetuse andmise tingimused ja kord“ (edaspidi </w:t>
      </w:r>
      <w:r w:rsidRPr="0036604D">
        <w:rPr>
          <w:rFonts w:ascii="Times New Roman" w:eastAsia="SimSun" w:hAnsi="Times New Roman"/>
          <w:i/>
          <w:iCs/>
          <w:kern w:val="1"/>
          <w:sz w:val="24"/>
          <w:szCs w:val="24"/>
          <w:lang w:eastAsia="zh-CN" w:bidi="hi-IN"/>
        </w:rPr>
        <w:t>meetme määrus</w:t>
      </w:r>
      <w:r w:rsidRPr="0036604D">
        <w:rPr>
          <w:rFonts w:ascii="Times New Roman" w:eastAsia="SimSun" w:hAnsi="Times New Roman"/>
          <w:kern w:val="1"/>
          <w:sz w:val="24"/>
          <w:szCs w:val="24"/>
          <w:lang w:eastAsia="zh-CN" w:bidi="hi-IN"/>
        </w:rPr>
        <w:t xml:space="preserve">) § 16 lg </w:t>
      </w:r>
      <w:r>
        <w:rPr>
          <w:rFonts w:ascii="Times New Roman" w:eastAsia="SimSun" w:hAnsi="Times New Roman"/>
          <w:kern w:val="1"/>
          <w:sz w:val="24"/>
          <w:szCs w:val="24"/>
          <w:lang w:eastAsia="zh-CN" w:bidi="hi-IN"/>
        </w:rPr>
        <w:t>2</w:t>
      </w:r>
      <w:r w:rsidRPr="0036604D">
        <w:rPr>
          <w:rFonts w:ascii="Times New Roman" w:eastAsia="SimSun" w:hAnsi="Times New Roman"/>
          <w:kern w:val="1"/>
          <w:sz w:val="24"/>
          <w:szCs w:val="24"/>
          <w:lang w:eastAsia="zh-CN" w:bidi="hi-IN"/>
        </w:rPr>
        <w:t xml:space="preserve">, perioodi 2021−2027 Euroopa Liidu ühtekuuluvus- ja siseturvalisuspoliitika fondide rakendamise seaduse  (edaspidi </w:t>
      </w:r>
      <w:r w:rsidRPr="0036604D">
        <w:rPr>
          <w:rFonts w:ascii="Times New Roman" w:eastAsia="SimSun" w:hAnsi="Times New Roman"/>
          <w:i/>
          <w:iCs/>
          <w:kern w:val="1"/>
          <w:sz w:val="24"/>
          <w:szCs w:val="24"/>
          <w:lang w:eastAsia="zh-CN" w:bidi="hi-IN"/>
        </w:rPr>
        <w:t>ÜSS</w:t>
      </w:r>
      <w:r w:rsidRPr="0036604D">
        <w:rPr>
          <w:rFonts w:ascii="Times New Roman" w:eastAsia="SimSun" w:hAnsi="Times New Roman"/>
          <w:kern w:val="1"/>
          <w:sz w:val="24"/>
          <w:szCs w:val="24"/>
          <w:lang w:eastAsia="zh-CN" w:bidi="hi-IN"/>
        </w:rPr>
        <w:t xml:space="preserve">) § 8 lg 2 p 2 ning Vabariigi Valitsuse 12.05.2022 määruse nr 55 „Perioodi 2021–2027 Euroopa Liidu ühtekuuluvus- ja siseturvalisuspoliitika fondide rakenduskavade vahendite andmise ja kasutamise üldised tingimused” (edaspidi </w:t>
      </w:r>
      <w:r w:rsidRPr="0036604D">
        <w:rPr>
          <w:rFonts w:ascii="Times New Roman" w:eastAsia="SimSun" w:hAnsi="Times New Roman"/>
          <w:i/>
          <w:iCs/>
          <w:kern w:val="1"/>
          <w:sz w:val="24"/>
          <w:szCs w:val="24"/>
          <w:lang w:eastAsia="zh-CN" w:bidi="hi-IN"/>
        </w:rPr>
        <w:t>ühendmäärus</w:t>
      </w:r>
      <w:r w:rsidRPr="0036604D">
        <w:rPr>
          <w:rFonts w:ascii="Times New Roman" w:eastAsia="SimSun" w:hAnsi="Times New Roman"/>
          <w:kern w:val="1"/>
          <w:sz w:val="24"/>
          <w:szCs w:val="24"/>
          <w:lang w:eastAsia="zh-CN" w:bidi="hi-IN"/>
        </w:rPr>
        <w:t xml:space="preserve">) § 8 lg 1 alusel </w:t>
      </w:r>
      <w:r w:rsidRPr="0036604D">
        <w:rPr>
          <w:rFonts w:ascii="Times New Roman" w:eastAsia="SimSun" w:hAnsi="Times New Roman"/>
          <w:b/>
          <w:bCs/>
          <w:kern w:val="1"/>
          <w:sz w:val="24"/>
          <w:szCs w:val="24"/>
          <w:lang w:eastAsia="zh-CN" w:bidi="hi-IN"/>
        </w:rPr>
        <w:t>Riigi Tugiteenuste Keskus</w:t>
      </w:r>
      <w:r w:rsidRPr="0036604D">
        <w:rPr>
          <w:rFonts w:ascii="Times New Roman" w:eastAsia="SimSun" w:hAnsi="Times New Roman"/>
          <w:kern w:val="1"/>
          <w:sz w:val="24"/>
          <w:szCs w:val="24"/>
          <w:lang w:eastAsia="zh-CN" w:bidi="hi-IN"/>
        </w:rPr>
        <w:t xml:space="preserve"> (edaspidi </w:t>
      </w:r>
      <w:r w:rsidRPr="0036604D">
        <w:rPr>
          <w:rFonts w:ascii="Times New Roman" w:eastAsia="SimSun" w:hAnsi="Times New Roman"/>
          <w:i/>
          <w:iCs/>
          <w:kern w:val="1"/>
          <w:sz w:val="24"/>
          <w:szCs w:val="24"/>
          <w:lang w:eastAsia="zh-CN" w:bidi="hi-IN"/>
        </w:rPr>
        <w:t>rakendusüksus</w:t>
      </w:r>
      <w:r w:rsidRPr="0036604D">
        <w:rPr>
          <w:rFonts w:ascii="Times New Roman" w:eastAsia="SimSun" w:hAnsi="Times New Roman"/>
          <w:kern w:val="1"/>
          <w:sz w:val="24"/>
          <w:szCs w:val="24"/>
          <w:lang w:eastAsia="zh-CN" w:bidi="hi-IN"/>
        </w:rPr>
        <w:t>):</w:t>
      </w:r>
    </w:p>
    <w:p w14:paraId="49A60D5D" w14:textId="77777777" w:rsidR="00A9233F" w:rsidRPr="0036604D" w:rsidRDefault="00A9233F" w:rsidP="00A9233F">
      <w:pPr>
        <w:widowControl w:val="0"/>
        <w:suppressAutoHyphens/>
        <w:spacing w:after="0" w:line="240" w:lineRule="auto"/>
        <w:jc w:val="both"/>
        <w:rPr>
          <w:rFonts w:ascii="Times New Roman" w:eastAsia="SimSun" w:hAnsi="Times New Roman"/>
          <w:kern w:val="1"/>
          <w:sz w:val="24"/>
          <w:szCs w:val="24"/>
          <w:lang w:eastAsia="zh-CN" w:bidi="hi-IN"/>
        </w:rPr>
      </w:pPr>
    </w:p>
    <w:p w14:paraId="025B90F1" w14:textId="77777777" w:rsidR="00A9233F" w:rsidRPr="0036604D" w:rsidRDefault="00A9233F" w:rsidP="00A9233F">
      <w:pPr>
        <w:widowControl w:val="0"/>
        <w:suppressAutoHyphens/>
        <w:spacing w:after="0" w:line="240" w:lineRule="auto"/>
        <w:jc w:val="both"/>
        <w:rPr>
          <w:rFonts w:ascii="Times New Roman" w:eastAsia="SimSun" w:hAnsi="Times New Roman"/>
          <w:b/>
          <w:bCs/>
          <w:kern w:val="1"/>
          <w:sz w:val="24"/>
          <w:szCs w:val="24"/>
          <w:lang w:eastAsia="zh-CN" w:bidi="hi-IN"/>
        </w:rPr>
      </w:pPr>
      <w:r w:rsidRPr="0036604D">
        <w:rPr>
          <w:rFonts w:ascii="Times New Roman" w:eastAsia="SimSun" w:hAnsi="Times New Roman"/>
          <w:b/>
          <w:bCs/>
          <w:kern w:val="1"/>
          <w:sz w:val="24"/>
          <w:szCs w:val="24"/>
          <w:lang w:eastAsia="zh-CN" w:bidi="hi-IN"/>
        </w:rPr>
        <w:t>otsustab:</w:t>
      </w:r>
    </w:p>
    <w:p w14:paraId="0DD40D19" w14:textId="77777777" w:rsidR="00A9233F" w:rsidRPr="0036604D" w:rsidRDefault="00A9233F" w:rsidP="00A9233F">
      <w:pPr>
        <w:widowControl w:val="0"/>
        <w:suppressAutoHyphens/>
        <w:spacing w:after="0" w:line="240" w:lineRule="auto"/>
        <w:jc w:val="both"/>
        <w:rPr>
          <w:rFonts w:ascii="Times New Roman" w:eastAsia="SimSun" w:hAnsi="Times New Roman"/>
          <w:kern w:val="1"/>
          <w:sz w:val="24"/>
          <w:szCs w:val="24"/>
          <w:lang w:eastAsia="zh-CN" w:bidi="hi-IN"/>
        </w:rPr>
      </w:pPr>
    </w:p>
    <w:p w14:paraId="1B073D9F" w14:textId="77777777" w:rsidR="00A9233F" w:rsidRPr="0036604D" w:rsidRDefault="00A9233F" w:rsidP="00A9233F">
      <w:pPr>
        <w:widowControl w:val="0"/>
        <w:numPr>
          <w:ilvl w:val="0"/>
          <w:numId w:val="1"/>
        </w:numPr>
        <w:suppressAutoHyphens/>
        <w:spacing w:after="0" w:line="240" w:lineRule="auto"/>
        <w:contextualSpacing/>
        <w:jc w:val="both"/>
        <w:rPr>
          <w:rFonts w:ascii="Times New Roman" w:eastAsia="SimSun" w:hAnsi="Times New Roman"/>
          <w:kern w:val="1"/>
          <w:sz w:val="24"/>
          <w:szCs w:val="24"/>
          <w:lang w:eastAsia="zh-CN" w:bidi="hi-IN"/>
        </w:rPr>
      </w:pPr>
      <w:r w:rsidRPr="0036604D">
        <w:rPr>
          <w:rFonts w:ascii="Times New Roman" w:eastAsia="SimSun" w:hAnsi="Times New Roman"/>
          <w:kern w:val="1"/>
          <w:sz w:val="24"/>
          <w:szCs w:val="24"/>
          <w:lang w:eastAsia="zh-CN" w:bidi="hi-IN"/>
        </w:rPr>
        <w:t xml:space="preserve">Rahuldada </w:t>
      </w:r>
      <w:r w:rsidRPr="00BA45BC">
        <w:rPr>
          <w:rFonts w:ascii="Times New Roman" w:eastAsia="SimSun" w:hAnsi="Times New Roman"/>
          <w:b/>
          <w:bCs/>
          <w:color w:val="000000"/>
          <w:kern w:val="1"/>
          <w:sz w:val="24"/>
          <w:szCs w:val="24"/>
          <w:lang w:eastAsia="zh-CN" w:bidi="hi-IN"/>
        </w:rPr>
        <w:t xml:space="preserve">Sihtasutus Estonian Business School </w:t>
      </w:r>
      <w:r w:rsidRPr="0036604D">
        <w:rPr>
          <w:rFonts w:ascii="Times New Roman" w:eastAsia="SimSun" w:hAnsi="Times New Roman"/>
          <w:color w:val="000000"/>
          <w:kern w:val="1"/>
          <w:sz w:val="24"/>
          <w:szCs w:val="24"/>
          <w:lang w:eastAsia="zh-CN" w:bidi="hi-IN"/>
        </w:rPr>
        <w:t>(</w:t>
      </w:r>
      <w:r w:rsidRPr="0036604D">
        <w:rPr>
          <w:rFonts w:ascii="Times New Roman" w:eastAsia="SimSun" w:hAnsi="Times New Roman"/>
          <w:kern w:val="1"/>
          <w:sz w:val="24"/>
          <w:szCs w:val="24"/>
          <w:lang w:eastAsia="zh-CN" w:bidi="hi-IN"/>
        </w:rPr>
        <w:t xml:space="preserve">registrikood </w:t>
      </w:r>
      <w:r w:rsidRPr="00BA45BC">
        <w:rPr>
          <w:rFonts w:ascii="Times New Roman" w:eastAsia="SimSun" w:hAnsi="Times New Roman"/>
          <w:kern w:val="1"/>
          <w:sz w:val="24"/>
          <w:szCs w:val="24"/>
          <w:lang w:eastAsia="zh-CN" w:bidi="hi-IN"/>
        </w:rPr>
        <w:t>90013934</w:t>
      </w:r>
      <w:r>
        <w:rPr>
          <w:rFonts w:ascii="Times New Roman" w:eastAsia="SimSun" w:hAnsi="Times New Roman"/>
          <w:kern w:val="1"/>
          <w:sz w:val="24"/>
          <w:szCs w:val="24"/>
          <w:lang w:eastAsia="zh-CN" w:bidi="hi-IN"/>
        </w:rPr>
        <w:t>)</w:t>
      </w:r>
      <w:r w:rsidRPr="0036604D">
        <w:rPr>
          <w:rFonts w:ascii="Times New Roman" w:eastAsia="SimSun" w:hAnsi="Times New Roman"/>
          <w:kern w:val="1"/>
          <w:sz w:val="24"/>
          <w:szCs w:val="24"/>
          <w:lang w:eastAsia="zh-CN" w:bidi="hi-IN"/>
        </w:rPr>
        <w:t xml:space="preserve">, aadress </w:t>
      </w:r>
      <w:r w:rsidRPr="00BA45BC">
        <w:rPr>
          <w:rFonts w:ascii="Times New Roman" w:eastAsia="SimSun" w:hAnsi="Times New Roman"/>
          <w:color w:val="000000"/>
          <w:kern w:val="1"/>
          <w:sz w:val="24"/>
          <w:szCs w:val="24"/>
          <w:lang w:eastAsia="zh-CN" w:bidi="hi-IN"/>
        </w:rPr>
        <w:t>A. Lauteri tn 3</w:t>
      </w:r>
      <w:r w:rsidRPr="001C7CFD">
        <w:rPr>
          <w:rFonts w:ascii="Times New Roman" w:eastAsia="SimSun" w:hAnsi="Times New Roman"/>
          <w:color w:val="000000"/>
          <w:kern w:val="1"/>
          <w:sz w:val="24"/>
          <w:szCs w:val="24"/>
          <w:lang w:eastAsia="zh-CN" w:bidi="hi-IN"/>
        </w:rPr>
        <w:t>, Tallinn</w:t>
      </w:r>
      <w:r>
        <w:rPr>
          <w:rFonts w:ascii="Times New Roman" w:eastAsia="SimSun" w:hAnsi="Times New Roman"/>
          <w:color w:val="000000"/>
          <w:kern w:val="1"/>
          <w:sz w:val="24"/>
          <w:szCs w:val="24"/>
          <w:lang w:eastAsia="zh-CN" w:bidi="hi-IN"/>
        </w:rPr>
        <w:t xml:space="preserve"> </w:t>
      </w:r>
      <w:r w:rsidRPr="00BA45BC">
        <w:rPr>
          <w:rFonts w:ascii="Times New Roman" w:eastAsia="SimSun" w:hAnsi="Times New Roman"/>
          <w:color w:val="000000"/>
          <w:kern w:val="1"/>
          <w:sz w:val="24"/>
          <w:szCs w:val="24"/>
          <w:lang w:eastAsia="zh-CN" w:bidi="hi-IN"/>
        </w:rPr>
        <w:t>10114</w:t>
      </w:r>
      <w:r w:rsidRPr="0036604D">
        <w:rPr>
          <w:rFonts w:ascii="Times New Roman" w:eastAsia="SimSun" w:hAnsi="Times New Roman"/>
          <w:color w:val="000000"/>
          <w:kern w:val="1"/>
          <w:sz w:val="24"/>
          <w:szCs w:val="24"/>
          <w:lang w:eastAsia="zh-CN" w:bidi="hi-IN"/>
        </w:rPr>
        <w:t>;</w:t>
      </w:r>
      <w:r w:rsidRPr="0036604D">
        <w:rPr>
          <w:rFonts w:ascii="Calibri" w:hAnsi="Calibri"/>
        </w:rPr>
        <w:t xml:space="preserve"> </w:t>
      </w:r>
      <w:r w:rsidRPr="0036604D">
        <w:rPr>
          <w:rFonts w:ascii="Times New Roman" w:eastAsia="SimSun" w:hAnsi="Times New Roman"/>
          <w:color w:val="000000"/>
          <w:kern w:val="1"/>
          <w:sz w:val="24"/>
          <w:szCs w:val="24"/>
          <w:lang w:eastAsia="zh-CN" w:bidi="hi-IN"/>
        </w:rPr>
        <w:t xml:space="preserve">edaspidi </w:t>
      </w:r>
      <w:r w:rsidRPr="0036604D">
        <w:rPr>
          <w:rFonts w:ascii="Times New Roman" w:eastAsia="SimSun" w:hAnsi="Times New Roman"/>
          <w:i/>
          <w:iCs/>
          <w:color w:val="000000"/>
          <w:kern w:val="1"/>
          <w:sz w:val="24"/>
          <w:szCs w:val="24"/>
          <w:lang w:eastAsia="zh-CN" w:bidi="hi-IN"/>
        </w:rPr>
        <w:t>toetuse saaja</w:t>
      </w:r>
      <w:r w:rsidRPr="0036604D">
        <w:rPr>
          <w:rFonts w:ascii="Times New Roman" w:eastAsia="SimSun" w:hAnsi="Times New Roman"/>
          <w:color w:val="000000"/>
          <w:kern w:val="1"/>
          <w:sz w:val="24"/>
          <w:szCs w:val="24"/>
          <w:lang w:eastAsia="zh-CN" w:bidi="hi-IN"/>
        </w:rPr>
        <w:t xml:space="preserve">) </w:t>
      </w:r>
      <w:r w:rsidRPr="00BA45BC">
        <w:rPr>
          <w:rFonts w:ascii="Times New Roman" w:eastAsia="SimSun" w:hAnsi="Times New Roman"/>
          <w:color w:val="000000"/>
          <w:kern w:val="1"/>
          <w:sz w:val="24"/>
          <w:szCs w:val="24"/>
          <w:lang w:eastAsia="zh-CN" w:bidi="hi-IN"/>
        </w:rPr>
        <w:t>1</w:t>
      </w:r>
      <w:r>
        <w:rPr>
          <w:rFonts w:ascii="Times New Roman" w:eastAsia="SimSun" w:hAnsi="Times New Roman"/>
          <w:color w:val="000000"/>
          <w:kern w:val="1"/>
          <w:sz w:val="24"/>
          <w:szCs w:val="24"/>
          <w:lang w:eastAsia="zh-CN" w:bidi="hi-IN"/>
        </w:rPr>
        <w:t>8</w:t>
      </w:r>
      <w:r w:rsidRPr="00BA45BC">
        <w:rPr>
          <w:rFonts w:ascii="Times New Roman" w:eastAsia="SimSun" w:hAnsi="Times New Roman"/>
          <w:color w:val="000000"/>
          <w:kern w:val="1"/>
          <w:sz w:val="24"/>
          <w:szCs w:val="24"/>
          <w:lang w:eastAsia="zh-CN" w:bidi="hi-IN"/>
        </w:rPr>
        <w:t>.0</w:t>
      </w:r>
      <w:r>
        <w:rPr>
          <w:rFonts w:ascii="Times New Roman" w:eastAsia="SimSun" w:hAnsi="Times New Roman"/>
          <w:color w:val="000000"/>
          <w:kern w:val="1"/>
          <w:sz w:val="24"/>
          <w:szCs w:val="24"/>
          <w:lang w:eastAsia="zh-CN" w:bidi="hi-IN"/>
        </w:rPr>
        <w:t>7</w:t>
      </w:r>
      <w:r w:rsidRPr="00BA45BC">
        <w:rPr>
          <w:rFonts w:ascii="Times New Roman" w:eastAsia="SimSun" w:hAnsi="Times New Roman"/>
          <w:color w:val="000000"/>
          <w:kern w:val="1"/>
          <w:sz w:val="24"/>
          <w:szCs w:val="24"/>
          <w:lang w:eastAsia="zh-CN" w:bidi="hi-IN"/>
        </w:rPr>
        <w:t xml:space="preserve">.2025 </w:t>
      </w:r>
      <w:r w:rsidRPr="0036604D">
        <w:rPr>
          <w:rFonts w:ascii="Times New Roman" w:eastAsia="SimSun" w:hAnsi="Times New Roman"/>
          <w:color w:val="000000"/>
          <w:kern w:val="1"/>
          <w:sz w:val="24"/>
          <w:szCs w:val="24"/>
          <w:lang w:eastAsia="zh-CN" w:bidi="hi-IN"/>
        </w:rPr>
        <w:t xml:space="preserve">esitatud toetuse taotlus registreerimisnumbriga </w:t>
      </w:r>
      <w:r w:rsidRPr="005702B3">
        <w:rPr>
          <w:rFonts w:ascii="Times New Roman" w:eastAsia="SimSun" w:hAnsi="Times New Roman"/>
          <w:color w:val="000000"/>
          <w:kern w:val="1"/>
          <w:sz w:val="24"/>
          <w:szCs w:val="24"/>
          <w:lang w:eastAsia="zh-CN" w:bidi="hi-IN"/>
        </w:rPr>
        <w:t>2021-2027.1.01.25-1284</w:t>
      </w:r>
      <w:r w:rsidRPr="0036604D">
        <w:rPr>
          <w:rFonts w:ascii="Times New Roman" w:eastAsia="SimSun" w:hAnsi="Times New Roman"/>
          <w:color w:val="000000"/>
          <w:kern w:val="1"/>
          <w:sz w:val="24"/>
          <w:szCs w:val="24"/>
          <w:lang w:eastAsia="zh-CN" w:bidi="hi-IN"/>
        </w:rPr>
        <w:t xml:space="preserve"> projektile </w:t>
      </w:r>
      <w:r w:rsidRPr="0036604D">
        <w:rPr>
          <w:rFonts w:ascii="Times New Roman" w:eastAsia="SimSun" w:hAnsi="Times New Roman"/>
          <w:b/>
          <w:bCs/>
          <w:color w:val="000000"/>
          <w:kern w:val="1"/>
          <w:sz w:val="24"/>
          <w:szCs w:val="24"/>
          <w:lang w:eastAsia="zh-CN" w:bidi="hi-IN"/>
        </w:rPr>
        <w:t>„</w:t>
      </w:r>
      <w:r w:rsidRPr="005702B3">
        <w:rPr>
          <w:rFonts w:ascii="Times New Roman" w:eastAsia="SimSun" w:hAnsi="Times New Roman"/>
          <w:b/>
          <w:bCs/>
          <w:color w:val="000000"/>
          <w:kern w:val="1"/>
          <w:sz w:val="24"/>
          <w:szCs w:val="24"/>
          <w:lang w:eastAsia="zh-CN" w:bidi="hi-IN"/>
        </w:rPr>
        <w:t>Biojäätmete väärindamine ja ringmajanduslike ärimudelite arendamine toidusüsteemi raames</w:t>
      </w:r>
      <w:r w:rsidRPr="0036604D">
        <w:rPr>
          <w:rFonts w:ascii="Times New Roman" w:eastAsia="SimSun" w:hAnsi="Times New Roman"/>
          <w:b/>
          <w:bCs/>
          <w:color w:val="000000"/>
          <w:kern w:val="1"/>
          <w:sz w:val="24"/>
          <w:szCs w:val="24"/>
          <w:lang w:eastAsia="zh-CN" w:bidi="hi-IN"/>
        </w:rPr>
        <w:t xml:space="preserve">“ </w:t>
      </w:r>
      <w:r w:rsidRPr="0036604D">
        <w:rPr>
          <w:rFonts w:ascii="Times New Roman" w:eastAsia="SimSun" w:hAnsi="Times New Roman"/>
          <w:color w:val="000000"/>
          <w:kern w:val="1"/>
          <w:sz w:val="24"/>
          <w:szCs w:val="24"/>
          <w:lang w:eastAsia="zh-CN" w:bidi="hi-IN"/>
        </w:rPr>
        <w:t xml:space="preserve">(edaspidi </w:t>
      </w:r>
      <w:r w:rsidRPr="0036604D">
        <w:rPr>
          <w:rFonts w:ascii="Times New Roman" w:eastAsia="SimSun" w:hAnsi="Times New Roman"/>
          <w:i/>
          <w:iCs/>
          <w:color w:val="000000"/>
          <w:kern w:val="1"/>
          <w:sz w:val="24"/>
          <w:szCs w:val="24"/>
          <w:lang w:eastAsia="zh-CN" w:bidi="hi-IN"/>
        </w:rPr>
        <w:t>projekt</w:t>
      </w:r>
      <w:r w:rsidRPr="0036604D">
        <w:rPr>
          <w:rFonts w:ascii="Times New Roman" w:eastAsia="SimSun" w:hAnsi="Times New Roman"/>
          <w:color w:val="000000"/>
          <w:kern w:val="1"/>
          <w:sz w:val="24"/>
          <w:szCs w:val="24"/>
          <w:lang w:eastAsia="zh-CN" w:bidi="hi-IN"/>
        </w:rPr>
        <w:t>).</w:t>
      </w:r>
    </w:p>
    <w:p w14:paraId="7FD3B674" w14:textId="77777777" w:rsidR="00A9233F" w:rsidRPr="0036604D" w:rsidRDefault="00A9233F" w:rsidP="00A9233F">
      <w:pPr>
        <w:widowControl w:val="0"/>
        <w:numPr>
          <w:ilvl w:val="0"/>
          <w:numId w:val="1"/>
        </w:numPr>
        <w:suppressAutoHyphens/>
        <w:spacing w:after="0" w:line="240" w:lineRule="auto"/>
        <w:contextualSpacing/>
        <w:jc w:val="both"/>
        <w:rPr>
          <w:rFonts w:ascii="Times New Roman" w:hAnsi="Times New Roman"/>
          <w:sz w:val="24"/>
          <w:szCs w:val="24"/>
        </w:rPr>
      </w:pPr>
      <w:r w:rsidRPr="0036604D">
        <w:rPr>
          <w:rFonts w:ascii="Times New Roman" w:hAnsi="Times New Roman"/>
          <w:sz w:val="24"/>
          <w:szCs w:val="24"/>
        </w:rPr>
        <w:t>Projekti abikõlblik kogumaksumus on</w:t>
      </w:r>
      <w:r w:rsidRPr="0036604D">
        <w:rPr>
          <w:rFonts w:ascii="Times New Roman" w:hAnsi="Times New Roman"/>
          <w:b/>
          <w:bCs/>
          <w:sz w:val="24"/>
          <w:szCs w:val="24"/>
        </w:rPr>
        <w:t xml:space="preserve"> </w:t>
      </w:r>
      <w:r w:rsidRPr="00A36538">
        <w:rPr>
          <w:rFonts w:ascii="Times New Roman" w:eastAsia="SimSun" w:hAnsi="Times New Roman"/>
          <w:b/>
          <w:bCs/>
          <w:kern w:val="1"/>
          <w:sz w:val="24"/>
          <w:szCs w:val="24"/>
          <w:lang w:eastAsia="zh-CN" w:bidi="hi-IN"/>
        </w:rPr>
        <w:t>112</w:t>
      </w:r>
      <w:r>
        <w:rPr>
          <w:rFonts w:ascii="Times New Roman" w:eastAsia="SimSun" w:hAnsi="Times New Roman"/>
          <w:b/>
          <w:bCs/>
          <w:kern w:val="1"/>
          <w:sz w:val="24"/>
          <w:szCs w:val="24"/>
          <w:lang w:eastAsia="zh-CN" w:bidi="hi-IN"/>
        </w:rPr>
        <w:t> </w:t>
      </w:r>
      <w:r w:rsidRPr="00A36538">
        <w:rPr>
          <w:rFonts w:ascii="Times New Roman" w:eastAsia="SimSun" w:hAnsi="Times New Roman"/>
          <w:b/>
          <w:bCs/>
          <w:kern w:val="1"/>
          <w:sz w:val="24"/>
          <w:szCs w:val="24"/>
          <w:lang w:eastAsia="zh-CN" w:bidi="hi-IN"/>
        </w:rPr>
        <w:t xml:space="preserve">116,48 </w:t>
      </w:r>
      <w:r w:rsidRPr="0036604D">
        <w:rPr>
          <w:rFonts w:ascii="Times New Roman" w:hAnsi="Times New Roman"/>
          <w:b/>
          <w:bCs/>
          <w:sz w:val="24"/>
          <w:szCs w:val="24"/>
        </w:rPr>
        <w:t>eurot,</w:t>
      </w:r>
      <w:r w:rsidRPr="0036604D">
        <w:rPr>
          <w:rFonts w:ascii="Times New Roman" w:hAnsi="Times New Roman"/>
          <w:sz w:val="24"/>
          <w:szCs w:val="24"/>
        </w:rPr>
        <w:t xml:space="preserve"> millest toetuse piirmäär on kuni </w:t>
      </w:r>
      <w:r>
        <w:rPr>
          <w:rFonts w:ascii="Times New Roman" w:hAnsi="Times New Roman"/>
          <w:sz w:val="24"/>
          <w:szCs w:val="24"/>
        </w:rPr>
        <w:t>85%</w:t>
      </w:r>
      <w:r w:rsidRPr="0036604D">
        <w:rPr>
          <w:rFonts w:ascii="Times New Roman" w:hAnsi="Times New Roman"/>
          <w:sz w:val="24"/>
          <w:szCs w:val="24"/>
        </w:rPr>
        <w:t xml:space="preserve"> ja omafinantseering vähemalt </w:t>
      </w:r>
      <w:r>
        <w:rPr>
          <w:rFonts w:ascii="Times New Roman" w:hAnsi="Times New Roman"/>
          <w:sz w:val="24"/>
          <w:szCs w:val="24"/>
        </w:rPr>
        <w:t>15</w:t>
      </w:r>
      <w:r w:rsidRPr="0036604D">
        <w:rPr>
          <w:rFonts w:ascii="Times New Roman" w:hAnsi="Times New Roman"/>
          <w:sz w:val="24"/>
          <w:szCs w:val="24"/>
        </w:rPr>
        <w:t xml:space="preserve">% abikõlblikest kuludest. Maksimaalne toetuse suurus on </w:t>
      </w:r>
      <w:r w:rsidRPr="00A36538">
        <w:rPr>
          <w:rFonts w:ascii="Times New Roman" w:eastAsia="SimSun" w:hAnsi="Times New Roman"/>
          <w:b/>
          <w:bCs/>
          <w:kern w:val="1"/>
          <w:sz w:val="24"/>
          <w:szCs w:val="24"/>
          <w:lang w:eastAsia="zh-CN" w:bidi="hi-IN"/>
        </w:rPr>
        <w:t>95</w:t>
      </w:r>
      <w:r>
        <w:rPr>
          <w:rFonts w:ascii="Times New Roman" w:eastAsia="SimSun" w:hAnsi="Times New Roman"/>
          <w:b/>
          <w:bCs/>
          <w:kern w:val="1"/>
          <w:sz w:val="24"/>
          <w:szCs w:val="24"/>
          <w:lang w:eastAsia="zh-CN" w:bidi="hi-IN"/>
        </w:rPr>
        <w:t> </w:t>
      </w:r>
      <w:r w:rsidRPr="00A36538">
        <w:rPr>
          <w:rFonts w:ascii="Times New Roman" w:eastAsia="SimSun" w:hAnsi="Times New Roman"/>
          <w:b/>
          <w:bCs/>
          <w:kern w:val="1"/>
          <w:sz w:val="24"/>
          <w:szCs w:val="24"/>
          <w:lang w:eastAsia="zh-CN" w:bidi="hi-IN"/>
        </w:rPr>
        <w:t xml:space="preserve">299,00 </w:t>
      </w:r>
      <w:r w:rsidRPr="0036604D">
        <w:rPr>
          <w:rFonts w:ascii="Times New Roman" w:hAnsi="Times New Roman"/>
          <w:sz w:val="24"/>
          <w:szCs w:val="24"/>
        </w:rPr>
        <w:t>eurot.</w:t>
      </w:r>
    </w:p>
    <w:p w14:paraId="780B7B18" w14:textId="77777777" w:rsidR="00A9233F" w:rsidRPr="00BA45BC" w:rsidRDefault="00A9233F" w:rsidP="00A9233F">
      <w:pPr>
        <w:widowControl w:val="0"/>
        <w:numPr>
          <w:ilvl w:val="0"/>
          <w:numId w:val="1"/>
        </w:numPr>
        <w:suppressAutoHyphens/>
        <w:spacing w:after="0" w:line="240" w:lineRule="auto"/>
        <w:contextualSpacing/>
        <w:jc w:val="both"/>
        <w:rPr>
          <w:rFonts w:ascii="Times New Roman" w:eastAsia="SimSun" w:hAnsi="Times New Roman"/>
          <w:kern w:val="1"/>
          <w:sz w:val="24"/>
          <w:szCs w:val="24"/>
          <w:lang w:eastAsia="zh-CN" w:bidi="hi-IN"/>
        </w:rPr>
      </w:pPr>
      <w:r w:rsidRPr="0041430F">
        <w:rPr>
          <w:rFonts w:ascii="Times New Roman" w:eastAsia="SimSun" w:hAnsi="Times New Roman"/>
          <w:kern w:val="1"/>
          <w:sz w:val="24"/>
          <w:szCs w:val="24"/>
          <w:lang w:eastAsia="zh-CN" w:bidi="hi-IN"/>
        </w:rPr>
        <w:t xml:space="preserve">Toetuse saajale antav toetus on riigiabi Euroopa Komisjoni määruse (EL) nr 651/2014 EL-i aluslepingu artiklite 107 ja 108 kohaldamise kohta, millega teatavat liiki abi tunnistatakse siseturuga kokkusobivaks (edaspidi </w:t>
      </w:r>
      <w:r w:rsidRPr="005702B3">
        <w:rPr>
          <w:rFonts w:ascii="Times New Roman" w:eastAsia="SimSun" w:hAnsi="Times New Roman"/>
          <w:i/>
          <w:iCs/>
          <w:kern w:val="1"/>
          <w:sz w:val="24"/>
          <w:szCs w:val="24"/>
          <w:lang w:eastAsia="zh-CN" w:bidi="hi-IN"/>
        </w:rPr>
        <w:t>grupierandi määrus</w:t>
      </w:r>
      <w:r w:rsidRPr="0041430F">
        <w:rPr>
          <w:rFonts w:ascii="Times New Roman" w:eastAsia="SimSun" w:hAnsi="Times New Roman"/>
          <w:kern w:val="1"/>
          <w:sz w:val="24"/>
          <w:szCs w:val="24"/>
          <w:lang w:eastAsia="zh-CN" w:bidi="hi-IN"/>
        </w:rPr>
        <w:t>), artikli 25 tähenduses ning toetuse andmisel kohaldatakse nimetatud määruses ja konkurentsiseaduse §-s 34*2 sätestatut</w:t>
      </w:r>
      <w:r>
        <w:rPr>
          <w:rFonts w:ascii="Times New Roman" w:eastAsia="SimSun" w:hAnsi="Times New Roman"/>
          <w:kern w:val="1"/>
          <w:sz w:val="24"/>
          <w:szCs w:val="24"/>
          <w:lang w:eastAsia="zh-CN" w:bidi="hi-IN"/>
        </w:rPr>
        <w:t>.</w:t>
      </w:r>
      <w:r>
        <w:rPr>
          <w:rFonts w:ascii="Times New Roman" w:eastAsia="SimSun" w:hAnsi="Times New Roman"/>
          <w:color w:val="000000"/>
          <w:kern w:val="1"/>
          <w:sz w:val="24"/>
          <w:szCs w:val="24"/>
          <w:lang w:eastAsia="zh-CN" w:bidi="hi-IN"/>
        </w:rPr>
        <w:t>.</w:t>
      </w:r>
    </w:p>
    <w:p w14:paraId="6B7E4AC4" w14:textId="77777777" w:rsidR="00A9233F" w:rsidRPr="00BA45BC" w:rsidRDefault="00A9233F" w:rsidP="00A9233F">
      <w:pPr>
        <w:widowControl w:val="0"/>
        <w:numPr>
          <w:ilvl w:val="0"/>
          <w:numId w:val="1"/>
        </w:numPr>
        <w:suppressAutoHyphens/>
        <w:spacing w:after="0" w:line="240" w:lineRule="auto"/>
        <w:contextualSpacing/>
        <w:jc w:val="both"/>
        <w:rPr>
          <w:rFonts w:ascii="Times New Roman" w:eastAsia="SimSun" w:hAnsi="Times New Roman"/>
          <w:kern w:val="1"/>
          <w:sz w:val="24"/>
          <w:szCs w:val="24"/>
          <w:lang w:eastAsia="zh-CN" w:bidi="hi-IN"/>
        </w:rPr>
      </w:pPr>
      <w:r w:rsidRPr="00BA45BC">
        <w:rPr>
          <w:rFonts w:ascii="Times New Roman" w:eastAsia="SimSun" w:hAnsi="Times New Roman"/>
          <w:color w:val="000000"/>
          <w:kern w:val="1"/>
          <w:sz w:val="24"/>
          <w:szCs w:val="24"/>
          <w:lang w:eastAsia="zh-CN" w:bidi="hi-IN"/>
        </w:rPr>
        <w:t xml:space="preserve">Projekti abikõlblikkuse periood on </w:t>
      </w:r>
      <w:r>
        <w:rPr>
          <w:rFonts w:ascii="Times New Roman" w:eastAsia="SimSun" w:hAnsi="Times New Roman"/>
          <w:b/>
          <w:bCs/>
          <w:color w:val="000000"/>
          <w:kern w:val="1"/>
          <w:sz w:val="24"/>
          <w:szCs w:val="24"/>
          <w:lang w:eastAsia="zh-CN" w:bidi="hi-IN"/>
        </w:rPr>
        <w:t>15</w:t>
      </w:r>
      <w:r w:rsidRPr="00BA45BC">
        <w:rPr>
          <w:rFonts w:ascii="Times New Roman" w:eastAsia="SimSun" w:hAnsi="Times New Roman"/>
          <w:b/>
          <w:bCs/>
          <w:color w:val="000000"/>
          <w:kern w:val="1"/>
          <w:sz w:val="24"/>
          <w:szCs w:val="24"/>
          <w:lang w:eastAsia="zh-CN" w:bidi="hi-IN"/>
        </w:rPr>
        <w:t>.0</w:t>
      </w:r>
      <w:r>
        <w:rPr>
          <w:rFonts w:ascii="Times New Roman" w:eastAsia="SimSun" w:hAnsi="Times New Roman"/>
          <w:b/>
          <w:bCs/>
          <w:color w:val="000000"/>
          <w:kern w:val="1"/>
          <w:sz w:val="24"/>
          <w:szCs w:val="24"/>
          <w:lang w:eastAsia="zh-CN" w:bidi="hi-IN"/>
        </w:rPr>
        <w:t>8</w:t>
      </w:r>
      <w:r w:rsidRPr="00BA45BC">
        <w:rPr>
          <w:rFonts w:ascii="Times New Roman" w:eastAsia="SimSun" w:hAnsi="Times New Roman"/>
          <w:b/>
          <w:bCs/>
          <w:color w:val="000000"/>
          <w:kern w:val="1"/>
          <w:sz w:val="24"/>
          <w:szCs w:val="24"/>
          <w:lang w:eastAsia="zh-CN" w:bidi="hi-IN"/>
        </w:rPr>
        <w:t xml:space="preserve">.2025 - </w:t>
      </w:r>
      <w:r>
        <w:rPr>
          <w:rFonts w:ascii="Times New Roman" w:eastAsia="SimSun" w:hAnsi="Times New Roman"/>
          <w:b/>
          <w:bCs/>
          <w:color w:val="000000"/>
          <w:kern w:val="1"/>
          <w:sz w:val="24"/>
          <w:szCs w:val="24"/>
          <w:lang w:eastAsia="zh-CN" w:bidi="hi-IN"/>
        </w:rPr>
        <w:t>14</w:t>
      </w:r>
      <w:r w:rsidRPr="00BA45BC">
        <w:rPr>
          <w:rFonts w:ascii="Times New Roman" w:eastAsia="SimSun" w:hAnsi="Times New Roman"/>
          <w:b/>
          <w:bCs/>
          <w:color w:val="000000"/>
          <w:kern w:val="1"/>
          <w:sz w:val="24"/>
          <w:szCs w:val="24"/>
          <w:lang w:eastAsia="zh-CN" w:bidi="hi-IN"/>
        </w:rPr>
        <w:t>.0</w:t>
      </w:r>
      <w:r>
        <w:rPr>
          <w:rFonts w:ascii="Times New Roman" w:eastAsia="SimSun" w:hAnsi="Times New Roman"/>
          <w:b/>
          <w:bCs/>
          <w:color w:val="000000"/>
          <w:kern w:val="1"/>
          <w:sz w:val="24"/>
          <w:szCs w:val="24"/>
          <w:lang w:eastAsia="zh-CN" w:bidi="hi-IN"/>
        </w:rPr>
        <w:t>8</w:t>
      </w:r>
      <w:r w:rsidRPr="00BA45BC">
        <w:rPr>
          <w:rFonts w:ascii="Times New Roman" w:eastAsia="SimSun" w:hAnsi="Times New Roman"/>
          <w:b/>
          <w:bCs/>
          <w:color w:val="000000"/>
          <w:kern w:val="1"/>
          <w:sz w:val="24"/>
          <w:szCs w:val="24"/>
          <w:lang w:eastAsia="zh-CN" w:bidi="hi-IN"/>
        </w:rPr>
        <w:t>.2027</w:t>
      </w:r>
      <w:r w:rsidRPr="00BA45BC">
        <w:rPr>
          <w:rFonts w:ascii="Times New Roman" w:eastAsia="SimSun" w:hAnsi="Times New Roman"/>
          <w:color w:val="000000"/>
          <w:kern w:val="1"/>
          <w:sz w:val="24"/>
          <w:szCs w:val="24"/>
          <w:lang w:eastAsia="zh-CN" w:bidi="hi-IN"/>
        </w:rPr>
        <w:t>.</w:t>
      </w:r>
    </w:p>
    <w:p w14:paraId="67073591" w14:textId="77777777" w:rsidR="00A9233F" w:rsidRPr="0036604D" w:rsidRDefault="00A9233F" w:rsidP="00A9233F">
      <w:pPr>
        <w:widowControl w:val="0"/>
        <w:numPr>
          <w:ilvl w:val="0"/>
          <w:numId w:val="1"/>
        </w:numPr>
        <w:suppressAutoHyphens/>
        <w:spacing w:after="0" w:line="240" w:lineRule="auto"/>
        <w:contextualSpacing/>
        <w:jc w:val="both"/>
        <w:rPr>
          <w:rFonts w:ascii="Times New Roman" w:eastAsia="SimSun" w:hAnsi="Times New Roman"/>
          <w:kern w:val="1"/>
          <w:sz w:val="24"/>
          <w:szCs w:val="24"/>
          <w:lang w:eastAsia="zh-CN" w:bidi="hi-IN"/>
        </w:rPr>
      </w:pPr>
      <w:r w:rsidRPr="00867916">
        <w:rPr>
          <w:rFonts w:ascii="Times New Roman" w:eastAsia="SimSun" w:hAnsi="Times New Roman"/>
          <w:kern w:val="1"/>
          <w:sz w:val="24"/>
          <w:szCs w:val="24"/>
          <w:lang w:eastAsia="zh-CN" w:bidi="hi-IN"/>
        </w:rPr>
        <w:t xml:space="preserve">Projekti toetatakse meetme määruse § 5 lõike 1 punktis </w:t>
      </w:r>
      <w:r>
        <w:rPr>
          <w:rFonts w:ascii="Times New Roman" w:eastAsia="SimSun" w:hAnsi="Times New Roman"/>
          <w:kern w:val="1"/>
          <w:sz w:val="24"/>
          <w:szCs w:val="24"/>
          <w:lang w:eastAsia="zh-CN" w:bidi="hi-IN"/>
        </w:rPr>
        <w:t>2</w:t>
      </w:r>
      <w:r w:rsidRPr="00867916">
        <w:rPr>
          <w:rFonts w:ascii="Times New Roman" w:eastAsia="SimSun" w:hAnsi="Times New Roman"/>
          <w:kern w:val="1"/>
          <w:sz w:val="24"/>
          <w:szCs w:val="24"/>
          <w:lang w:eastAsia="zh-CN" w:bidi="hi-IN"/>
        </w:rPr>
        <w:t xml:space="preserve"> nimetatud tegevusest „</w:t>
      </w:r>
      <w:r w:rsidRPr="002C3004">
        <w:rPr>
          <w:rFonts w:ascii="Times New Roman" w:eastAsia="SimSun" w:hAnsi="Times New Roman"/>
          <w:kern w:val="1"/>
          <w:sz w:val="24"/>
          <w:szCs w:val="24"/>
          <w:lang w:eastAsia="zh-CN" w:bidi="hi-IN"/>
        </w:rPr>
        <w:t>Tippspetsialisti kaasamine ülikooli, positiivselt evalveeritud avalik-õiguslikku või riigi teadus- ja arendusasutusse või institutsionaalselt akrediteeritud riigi rakenduskõrgkooli õppe- ja/või teadus- ja/või arendus- ja/või innovatsioonitegevuste läbi viimiseks või tegelemiseks tehnoloogiasiirdega teadusasutuse vastavas struktuuriüksuses</w:t>
      </w:r>
      <w:r w:rsidRPr="00867916">
        <w:rPr>
          <w:rFonts w:ascii="Times New Roman" w:eastAsia="SimSun" w:hAnsi="Times New Roman"/>
          <w:kern w:val="1"/>
          <w:sz w:val="24"/>
          <w:szCs w:val="24"/>
          <w:lang w:eastAsia="zh-CN" w:bidi="hi-IN"/>
        </w:rPr>
        <w:t xml:space="preserve">“. </w:t>
      </w:r>
      <w:r w:rsidRPr="0036604D">
        <w:rPr>
          <w:rFonts w:ascii="Times New Roman" w:eastAsia="SimSun" w:hAnsi="Times New Roman"/>
          <w:kern w:val="1"/>
          <w:sz w:val="24"/>
          <w:szCs w:val="24"/>
          <w:lang w:eastAsia="zh-CN" w:bidi="hi-IN"/>
        </w:rPr>
        <w:t xml:space="preserve">Toetatava projekti ja tegevuse tulemus- ja väljundnäitajad ning riigi pikaajalises arengustrateegias kinnitatud näitaja koos sihttasemetega on kirjeldatud taotluse punktis „Näitajad“. </w:t>
      </w:r>
    </w:p>
    <w:p w14:paraId="1A9ED8F7" w14:textId="77777777" w:rsidR="00A9233F" w:rsidRPr="0036604D" w:rsidRDefault="00A9233F" w:rsidP="00A9233F">
      <w:pPr>
        <w:widowControl w:val="0"/>
        <w:numPr>
          <w:ilvl w:val="0"/>
          <w:numId w:val="1"/>
        </w:numPr>
        <w:suppressAutoHyphens/>
        <w:spacing w:after="0" w:line="240" w:lineRule="auto"/>
        <w:contextualSpacing/>
        <w:jc w:val="both"/>
        <w:rPr>
          <w:rFonts w:ascii="Times New Roman" w:eastAsia="SimSun" w:hAnsi="Times New Roman"/>
          <w:kern w:val="1"/>
          <w:sz w:val="24"/>
          <w:szCs w:val="24"/>
          <w:lang w:eastAsia="zh-CN" w:bidi="hi-IN"/>
        </w:rPr>
      </w:pPr>
      <w:r w:rsidRPr="0036604D">
        <w:rPr>
          <w:rFonts w:ascii="Times New Roman" w:eastAsia="SimSun" w:hAnsi="Times New Roman"/>
          <w:kern w:val="1"/>
          <w:sz w:val="24"/>
          <w:szCs w:val="24"/>
          <w:lang w:eastAsia="zh-CN" w:bidi="hi-IN"/>
        </w:rPr>
        <w:t xml:space="preserve">Projekti eesmärk on </w:t>
      </w:r>
      <w:r w:rsidRPr="005702B3">
        <w:rPr>
          <w:rFonts w:ascii="Times New Roman" w:eastAsia="SimSun" w:hAnsi="Times New Roman"/>
          <w:kern w:val="1"/>
          <w:sz w:val="24"/>
          <w:szCs w:val="24"/>
          <w:lang w:eastAsia="zh-CN" w:bidi="hi-IN"/>
        </w:rPr>
        <w:t>tugevdada EBSi teadus- ja arendustegevuse võimekust biojäätmete väärindamise ning ringmajanduse ärimudelite arendamise valdkonnas, keskendudes eelkõige nende rakendamisele toidusüsteemi kontekstis</w:t>
      </w:r>
      <w:r>
        <w:rPr>
          <w:rFonts w:ascii="Times New Roman" w:eastAsia="SimSun" w:hAnsi="Times New Roman"/>
          <w:kern w:val="1"/>
          <w:sz w:val="24"/>
          <w:szCs w:val="24"/>
          <w:lang w:eastAsia="zh-CN" w:bidi="hi-IN"/>
        </w:rPr>
        <w:t>.</w:t>
      </w:r>
    </w:p>
    <w:p w14:paraId="5AF634AD" w14:textId="77777777" w:rsidR="00A9233F" w:rsidRPr="0036604D" w:rsidRDefault="00A9233F" w:rsidP="00A9233F">
      <w:pPr>
        <w:widowControl w:val="0"/>
        <w:numPr>
          <w:ilvl w:val="0"/>
          <w:numId w:val="1"/>
        </w:numPr>
        <w:suppressAutoHyphens/>
        <w:spacing w:after="0" w:line="240" w:lineRule="auto"/>
        <w:contextualSpacing/>
        <w:jc w:val="both"/>
        <w:rPr>
          <w:rFonts w:ascii="Times New Roman" w:eastAsia="SimSun" w:hAnsi="Times New Roman"/>
          <w:kern w:val="1"/>
          <w:sz w:val="24"/>
          <w:szCs w:val="24"/>
          <w:lang w:eastAsia="zh-CN" w:bidi="hi-IN"/>
        </w:rPr>
      </w:pPr>
      <w:r w:rsidRPr="0036604D">
        <w:rPr>
          <w:rFonts w:ascii="Times New Roman" w:hAnsi="Times New Roman"/>
          <w:sz w:val="24"/>
          <w:szCs w:val="24"/>
        </w:rPr>
        <w:t xml:space="preserve">Projekti toetatava tegevusena võetakse tööle </w:t>
      </w:r>
      <w:r>
        <w:rPr>
          <w:rFonts w:ascii="Times New Roman" w:hAnsi="Times New Roman"/>
          <w:sz w:val="24"/>
          <w:szCs w:val="24"/>
        </w:rPr>
        <w:t>0,8</w:t>
      </w:r>
      <w:r w:rsidRPr="00464DBE">
        <w:rPr>
          <w:rFonts w:ascii="Times New Roman" w:hAnsi="Times New Roman"/>
          <w:sz w:val="24"/>
          <w:szCs w:val="24"/>
        </w:rPr>
        <w:t xml:space="preserve"> koormusega (</w:t>
      </w:r>
      <w:r>
        <w:rPr>
          <w:rFonts w:ascii="Times New Roman" w:hAnsi="Times New Roman"/>
          <w:sz w:val="24"/>
          <w:szCs w:val="24"/>
        </w:rPr>
        <w:t xml:space="preserve">osalise </w:t>
      </w:r>
      <w:r w:rsidRPr="00464DBE">
        <w:rPr>
          <w:rFonts w:ascii="Times New Roman" w:hAnsi="Times New Roman"/>
          <w:sz w:val="24"/>
          <w:szCs w:val="24"/>
        </w:rPr>
        <w:t>koormusega)</w:t>
      </w:r>
      <w:r>
        <w:rPr>
          <w:sz w:val="23"/>
          <w:szCs w:val="23"/>
        </w:rPr>
        <w:t xml:space="preserve"> </w:t>
      </w:r>
      <w:r w:rsidRPr="0036604D">
        <w:rPr>
          <w:rFonts w:ascii="Times New Roman" w:hAnsi="Times New Roman"/>
          <w:sz w:val="24"/>
          <w:szCs w:val="24"/>
        </w:rPr>
        <w:t xml:space="preserve">1 (üks) </w:t>
      </w:r>
      <w:r>
        <w:rPr>
          <w:rFonts w:ascii="Times New Roman" w:hAnsi="Times New Roman"/>
          <w:sz w:val="24"/>
          <w:szCs w:val="24"/>
        </w:rPr>
        <w:t>tippspetsialist</w:t>
      </w:r>
      <w:r w:rsidRPr="0036604D">
        <w:rPr>
          <w:rFonts w:ascii="Times New Roman" w:hAnsi="Times New Roman"/>
          <w:sz w:val="24"/>
          <w:szCs w:val="24"/>
        </w:rPr>
        <w:t xml:space="preserve">, kelle projekti heaks töötamise ajavahemik on </w:t>
      </w:r>
      <w:r>
        <w:rPr>
          <w:rFonts w:ascii="Times New Roman" w:eastAsia="SimSun" w:hAnsi="Times New Roman"/>
          <w:kern w:val="1"/>
          <w:sz w:val="24"/>
          <w:szCs w:val="24"/>
          <w:lang w:eastAsia="zh-CN" w:bidi="hi-IN"/>
        </w:rPr>
        <w:t>15</w:t>
      </w:r>
      <w:r w:rsidRPr="0036604D">
        <w:rPr>
          <w:rFonts w:ascii="Times New Roman" w:eastAsia="SimSun" w:hAnsi="Times New Roman"/>
          <w:kern w:val="1"/>
          <w:sz w:val="24"/>
          <w:szCs w:val="24"/>
          <w:lang w:eastAsia="zh-CN" w:bidi="hi-IN"/>
        </w:rPr>
        <w:t>.</w:t>
      </w:r>
      <w:r>
        <w:rPr>
          <w:rFonts w:ascii="Times New Roman" w:eastAsia="SimSun" w:hAnsi="Times New Roman"/>
          <w:kern w:val="1"/>
          <w:sz w:val="24"/>
          <w:szCs w:val="24"/>
          <w:lang w:eastAsia="zh-CN" w:bidi="hi-IN"/>
        </w:rPr>
        <w:t>08</w:t>
      </w:r>
      <w:r w:rsidRPr="0036604D">
        <w:rPr>
          <w:rFonts w:ascii="Times New Roman" w:eastAsia="SimSun" w:hAnsi="Times New Roman"/>
          <w:kern w:val="1"/>
          <w:sz w:val="24"/>
          <w:szCs w:val="24"/>
          <w:lang w:eastAsia="zh-CN" w:bidi="hi-IN"/>
        </w:rPr>
        <w:t>.202</w:t>
      </w:r>
      <w:r>
        <w:rPr>
          <w:rFonts w:ascii="Times New Roman" w:eastAsia="SimSun" w:hAnsi="Times New Roman"/>
          <w:kern w:val="1"/>
          <w:sz w:val="24"/>
          <w:szCs w:val="24"/>
          <w:lang w:eastAsia="zh-CN" w:bidi="hi-IN"/>
        </w:rPr>
        <w:t xml:space="preserve">5 </w:t>
      </w:r>
      <w:r w:rsidRPr="0036604D">
        <w:rPr>
          <w:rFonts w:ascii="Times New Roman" w:eastAsia="SimSun" w:hAnsi="Times New Roman"/>
          <w:kern w:val="1"/>
          <w:sz w:val="24"/>
          <w:szCs w:val="24"/>
          <w:lang w:eastAsia="zh-CN" w:bidi="hi-IN"/>
        </w:rPr>
        <w:t>-</w:t>
      </w:r>
      <w:r>
        <w:rPr>
          <w:rFonts w:ascii="Times New Roman" w:eastAsia="SimSun" w:hAnsi="Times New Roman"/>
          <w:kern w:val="1"/>
          <w:sz w:val="24"/>
          <w:szCs w:val="24"/>
          <w:lang w:eastAsia="zh-CN" w:bidi="hi-IN"/>
        </w:rPr>
        <w:t xml:space="preserve"> 14</w:t>
      </w:r>
      <w:r w:rsidRPr="0036604D">
        <w:rPr>
          <w:rFonts w:ascii="Times New Roman" w:eastAsia="SimSun" w:hAnsi="Times New Roman"/>
          <w:kern w:val="1"/>
          <w:sz w:val="24"/>
          <w:szCs w:val="24"/>
          <w:lang w:eastAsia="zh-CN" w:bidi="hi-IN"/>
        </w:rPr>
        <w:t>.</w:t>
      </w:r>
      <w:r>
        <w:rPr>
          <w:rFonts w:ascii="Times New Roman" w:eastAsia="SimSun" w:hAnsi="Times New Roman"/>
          <w:kern w:val="1"/>
          <w:sz w:val="24"/>
          <w:szCs w:val="24"/>
          <w:lang w:eastAsia="zh-CN" w:bidi="hi-IN"/>
        </w:rPr>
        <w:t>08</w:t>
      </w:r>
      <w:r w:rsidRPr="0036604D">
        <w:rPr>
          <w:rFonts w:ascii="Times New Roman" w:eastAsia="SimSun" w:hAnsi="Times New Roman"/>
          <w:kern w:val="1"/>
          <w:sz w:val="24"/>
          <w:szCs w:val="24"/>
          <w:lang w:eastAsia="zh-CN" w:bidi="hi-IN"/>
        </w:rPr>
        <w:t>.202</w:t>
      </w:r>
      <w:r>
        <w:rPr>
          <w:rFonts w:ascii="Times New Roman" w:eastAsia="SimSun" w:hAnsi="Times New Roman"/>
          <w:kern w:val="1"/>
          <w:sz w:val="24"/>
          <w:szCs w:val="24"/>
          <w:lang w:eastAsia="zh-CN" w:bidi="hi-IN"/>
        </w:rPr>
        <w:t>7 (24 kuud)</w:t>
      </w:r>
      <w:r w:rsidRPr="0036604D">
        <w:rPr>
          <w:rFonts w:ascii="Times New Roman" w:hAnsi="Times New Roman"/>
          <w:sz w:val="24"/>
          <w:szCs w:val="24"/>
        </w:rPr>
        <w:t>.</w:t>
      </w:r>
    </w:p>
    <w:p w14:paraId="324FAC7C" w14:textId="77777777" w:rsidR="00A9233F" w:rsidRPr="0036604D" w:rsidRDefault="00A9233F" w:rsidP="00A9233F">
      <w:pPr>
        <w:numPr>
          <w:ilvl w:val="0"/>
          <w:numId w:val="1"/>
        </w:numPr>
        <w:spacing w:after="0" w:line="240" w:lineRule="auto"/>
        <w:rPr>
          <w:rFonts w:ascii="Times New Roman" w:hAnsi="Times New Roman"/>
          <w:sz w:val="24"/>
          <w:szCs w:val="24"/>
          <w:shd w:val="clear" w:color="auto" w:fill="FFFFFF"/>
        </w:rPr>
      </w:pPr>
      <w:r w:rsidRPr="0036604D">
        <w:rPr>
          <w:rFonts w:ascii="Times New Roman" w:eastAsia="SimSun" w:hAnsi="Times New Roman"/>
          <w:kern w:val="1"/>
          <w:sz w:val="24"/>
          <w:szCs w:val="24"/>
          <w:lang w:eastAsia="zh-CN" w:bidi="hi-IN"/>
        </w:rPr>
        <w:t>Projekti tegevusega alustatakse ja projekti viiakse ellu taotluses kirjeldatud tegevus- ja ajakava alusel taotluses näidatud asukohas.</w:t>
      </w:r>
    </w:p>
    <w:p w14:paraId="3598F082" w14:textId="77777777" w:rsidR="00A9233F" w:rsidRPr="0036604D" w:rsidRDefault="00A9233F" w:rsidP="00A9233F">
      <w:pPr>
        <w:widowControl w:val="0"/>
        <w:numPr>
          <w:ilvl w:val="0"/>
          <w:numId w:val="1"/>
        </w:numPr>
        <w:suppressAutoHyphens/>
        <w:autoSpaceDE w:val="0"/>
        <w:autoSpaceDN w:val="0"/>
        <w:adjustRightInd w:val="0"/>
        <w:spacing w:after="0" w:line="240" w:lineRule="auto"/>
        <w:jc w:val="both"/>
        <w:rPr>
          <w:rFonts w:ascii="Times New Roman" w:eastAsia="SimSun" w:hAnsi="Times New Roman"/>
          <w:kern w:val="1"/>
          <w:sz w:val="24"/>
          <w:szCs w:val="24"/>
          <w:lang w:eastAsia="zh-CN" w:bidi="hi-IN"/>
        </w:rPr>
      </w:pPr>
      <w:r w:rsidRPr="0036604D">
        <w:rPr>
          <w:rFonts w:ascii="Times New Roman" w:hAnsi="Times New Roman"/>
          <w:color w:val="000000"/>
          <w:sz w:val="24"/>
          <w:szCs w:val="24"/>
        </w:rPr>
        <w:t>Toetuse saaja täidab ühendmääruse 3. peatükis ja meetme määruses sätestatut, sh:</w:t>
      </w:r>
    </w:p>
    <w:p w14:paraId="474F6E70" w14:textId="77777777" w:rsidR="00A9233F" w:rsidRPr="0036604D" w:rsidRDefault="00A9233F" w:rsidP="00A9233F">
      <w:pPr>
        <w:numPr>
          <w:ilvl w:val="1"/>
          <w:numId w:val="1"/>
        </w:numPr>
        <w:autoSpaceDE w:val="0"/>
        <w:autoSpaceDN w:val="0"/>
        <w:adjustRightInd w:val="0"/>
        <w:spacing w:after="0" w:line="240" w:lineRule="auto"/>
        <w:jc w:val="both"/>
        <w:rPr>
          <w:rFonts w:ascii="Times New Roman" w:eastAsia="SimSun" w:hAnsi="Times New Roman"/>
          <w:kern w:val="1"/>
          <w:sz w:val="24"/>
          <w:szCs w:val="24"/>
          <w:lang w:eastAsia="zh-CN" w:bidi="hi-IN"/>
        </w:rPr>
      </w:pPr>
      <w:r w:rsidRPr="0036604D">
        <w:rPr>
          <w:rFonts w:ascii="Times New Roman" w:eastAsia="SimSun" w:hAnsi="Times New Roman"/>
          <w:kern w:val="1"/>
          <w:sz w:val="24"/>
          <w:szCs w:val="24"/>
          <w:lang w:eastAsia="zh-CN" w:bidi="hi-IN"/>
        </w:rPr>
        <w:t>tagab</w:t>
      </w:r>
      <w:r w:rsidRPr="0036604D">
        <w:rPr>
          <w:rFonts w:ascii="Times New Roman" w:hAnsi="Times New Roman"/>
          <w:color w:val="202020"/>
          <w:sz w:val="24"/>
          <w:szCs w:val="24"/>
          <w:shd w:val="clear" w:color="auto" w:fill="FFFFFF"/>
        </w:rPr>
        <w:t xml:space="preserve"> projekti elluviimise ÜSS-is, ühendmääruses, meetme määruses ja esitatud taotluses ettenähtud tingimustel ja nõutud tulemuse saavutamise;</w:t>
      </w:r>
    </w:p>
    <w:p w14:paraId="4D4C95E7" w14:textId="77777777" w:rsidR="00A9233F" w:rsidRPr="0036604D" w:rsidRDefault="00A9233F" w:rsidP="00A9233F">
      <w:pPr>
        <w:numPr>
          <w:ilvl w:val="1"/>
          <w:numId w:val="1"/>
        </w:numPr>
        <w:autoSpaceDE w:val="0"/>
        <w:autoSpaceDN w:val="0"/>
        <w:adjustRightInd w:val="0"/>
        <w:spacing w:after="0" w:line="240" w:lineRule="auto"/>
        <w:jc w:val="both"/>
        <w:rPr>
          <w:rFonts w:ascii="Times New Roman" w:eastAsia="SimSun" w:hAnsi="Times New Roman"/>
          <w:kern w:val="1"/>
          <w:sz w:val="24"/>
          <w:szCs w:val="24"/>
          <w:lang w:eastAsia="zh-CN" w:bidi="hi-IN"/>
        </w:rPr>
      </w:pPr>
      <w:r w:rsidRPr="0036604D">
        <w:rPr>
          <w:rFonts w:ascii="Times New Roman" w:eastAsia="SimSun" w:hAnsi="Times New Roman"/>
          <w:kern w:val="1"/>
          <w:sz w:val="24"/>
          <w:szCs w:val="24"/>
          <w:lang w:eastAsia="zh-CN" w:bidi="hi-IN"/>
        </w:rPr>
        <w:lastRenderedPageBreak/>
        <w:t>tagab projekti elluviimiseks vajalike õigusaktides ette nähtud lubade ja kooskõlastuste olemasolu;</w:t>
      </w:r>
    </w:p>
    <w:p w14:paraId="0E1FA93F" w14:textId="77777777" w:rsidR="00A9233F" w:rsidRPr="0036604D" w:rsidRDefault="00A9233F" w:rsidP="00A9233F">
      <w:pPr>
        <w:numPr>
          <w:ilvl w:val="1"/>
          <w:numId w:val="1"/>
        </w:numPr>
        <w:autoSpaceDE w:val="0"/>
        <w:autoSpaceDN w:val="0"/>
        <w:adjustRightInd w:val="0"/>
        <w:spacing w:after="0" w:line="240" w:lineRule="auto"/>
        <w:jc w:val="both"/>
        <w:rPr>
          <w:rFonts w:ascii="Times New Roman" w:eastAsia="SimSun" w:hAnsi="Times New Roman"/>
          <w:kern w:val="1"/>
          <w:sz w:val="24"/>
          <w:szCs w:val="24"/>
          <w:lang w:eastAsia="zh-CN" w:bidi="hi-IN"/>
        </w:rPr>
      </w:pPr>
      <w:r w:rsidRPr="0036604D">
        <w:rPr>
          <w:rFonts w:ascii="Times New Roman" w:eastAsia="SimSun" w:hAnsi="Times New Roman"/>
          <w:kern w:val="1"/>
          <w:sz w:val="24"/>
          <w:szCs w:val="24"/>
          <w:lang w:eastAsia="zh-CN" w:bidi="hi-IN"/>
        </w:rPr>
        <w:t xml:space="preserve">esitab rakendusüksusele </w:t>
      </w:r>
      <w:r>
        <w:rPr>
          <w:rFonts w:ascii="Times New Roman" w:eastAsia="SimSun" w:hAnsi="Times New Roman"/>
          <w:kern w:val="1"/>
          <w:sz w:val="24"/>
          <w:szCs w:val="24"/>
          <w:lang w:eastAsia="zh-CN" w:bidi="hi-IN"/>
        </w:rPr>
        <w:t>tippspetsialistiga</w:t>
      </w:r>
      <w:r w:rsidRPr="0036604D">
        <w:rPr>
          <w:rFonts w:ascii="Times New Roman" w:eastAsia="SimSun" w:hAnsi="Times New Roman"/>
          <w:kern w:val="1"/>
          <w:sz w:val="24"/>
          <w:szCs w:val="24"/>
          <w:lang w:eastAsia="zh-CN" w:bidi="hi-IN"/>
        </w:rPr>
        <w:t xml:space="preserve"> sõlmitud lepingu, milles on sätestatud osapoolte omavahelised õigused ja kohustused, sh toetatava tegevuse käigus tekkiva intellektuaalomandi varaliste õiguste kuuluvus ja jaotus, hiljemalt ühe kuu jooksul pärast taotluse rahuldamise otsuse saamist; </w:t>
      </w:r>
    </w:p>
    <w:p w14:paraId="6FAC7FB2" w14:textId="77777777" w:rsidR="00A9233F" w:rsidRPr="0036604D" w:rsidRDefault="00A9233F" w:rsidP="00A9233F">
      <w:pPr>
        <w:numPr>
          <w:ilvl w:val="1"/>
          <w:numId w:val="1"/>
        </w:numPr>
        <w:autoSpaceDE w:val="0"/>
        <w:autoSpaceDN w:val="0"/>
        <w:adjustRightInd w:val="0"/>
        <w:spacing w:after="0" w:line="240" w:lineRule="auto"/>
        <w:contextualSpacing/>
        <w:jc w:val="both"/>
        <w:rPr>
          <w:rFonts w:ascii="Times New Roman" w:eastAsia="SimSun" w:hAnsi="Times New Roman"/>
          <w:kern w:val="1"/>
          <w:sz w:val="24"/>
          <w:szCs w:val="24"/>
          <w:lang w:eastAsia="zh-CN" w:bidi="hi-IN"/>
        </w:rPr>
      </w:pPr>
      <w:r w:rsidRPr="0036604D">
        <w:rPr>
          <w:rFonts w:ascii="Times New Roman" w:eastAsia="SimSun" w:hAnsi="Times New Roman"/>
          <w:kern w:val="1"/>
          <w:sz w:val="24"/>
          <w:szCs w:val="24"/>
          <w:lang w:eastAsia="zh-CN" w:bidi="hi-IN"/>
        </w:rPr>
        <w:t>järgib taotluses toodud ajakava, tegevuskava ja eelarvet. Toetuse saaja on kohustatud projekti tegevuste, eelarve ja tähtaegade muutmise vajadusest eelnevalt rakendusüksust kirjalikult teavitama. Toetuse saaja taotleb rakendusüksuselt taotluse rahuldamise otsuse muutmist meetme määruse §-s 18 sätestatud tingimustel;</w:t>
      </w:r>
    </w:p>
    <w:p w14:paraId="47ABB724" w14:textId="77777777" w:rsidR="00A9233F" w:rsidRPr="0036604D" w:rsidRDefault="00A9233F" w:rsidP="00A9233F">
      <w:pPr>
        <w:numPr>
          <w:ilvl w:val="1"/>
          <w:numId w:val="1"/>
        </w:numPr>
        <w:autoSpaceDE w:val="0"/>
        <w:autoSpaceDN w:val="0"/>
        <w:adjustRightInd w:val="0"/>
        <w:spacing w:after="0" w:line="240" w:lineRule="auto"/>
        <w:contextualSpacing/>
        <w:jc w:val="both"/>
        <w:rPr>
          <w:rFonts w:ascii="Times New Roman" w:eastAsia="SimSun" w:hAnsi="Times New Roman"/>
          <w:kern w:val="1"/>
          <w:sz w:val="24"/>
          <w:szCs w:val="24"/>
          <w:lang w:eastAsia="zh-CN" w:bidi="hi-IN"/>
        </w:rPr>
      </w:pPr>
      <w:r w:rsidRPr="0036604D">
        <w:rPr>
          <w:rFonts w:ascii="Times New Roman" w:eastAsia="SimSun" w:hAnsi="Times New Roman"/>
          <w:kern w:val="1"/>
          <w:sz w:val="24"/>
          <w:szCs w:val="24"/>
          <w:lang w:eastAsia="zh-CN" w:bidi="hi-IN"/>
        </w:rPr>
        <w:t>näitab toetuse kasutamisel vastavalt Vabariigi Valitsuse 12.05.2022 määruses nr 54 „Perioodi 2021–2027 ühtekuuluvus- ja siseturvalisuspoliitika fondide vahendite andmisest avalikkuse teavitamine” kehtestatud tingimustele ja korrale, et tegemist on toetusest rahastatud tegevusega, kasutades selleks ettenähtud sümboolikat. Projekti toetatakse Euroopa ühtekuuluvuspoliitika fondide vahenditest;</w:t>
      </w:r>
    </w:p>
    <w:p w14:paraId="219DB413" w14:textId="77777777" w:rsidR="00A9233F" w:rsidRPr="0036604D" w:rsidRDefault="00A9233F" w:rsidP="00A9233F">
      <w:pPr>
        <w:numPr>
          <w:ilvl w:val="1"/>
          <w:numId w:val="1"/>
        </w:numPr>
        <w:autoSpaceDE w:val="0"/>
        <w:autoSpaceDN w:val="0"/>
        <w:adjustRightInd w:val="0"/>
        <w:spacing w:after="0" w:line="240" w:lineRule="auto"/>
        <w:contextualSpacing/>
        <w:jc w:val="both"/>
        <w:rPr>
          <w:rFonts w:ascii="Times New Roman" w:eastAsia="SimSun" w:hAnsi="Times New Roman"/>
          <w:kern w:val="1"/>
          <w:sz w:val="24"/>
          <w:szCs w:val="24"/>
          <w:lang w:eastAsia="zh-CN" w:bidi="hi-IN"/>
        </w:rPr>
      </w:pPr>
      <w:r w:rsidRPr="0036604D">
        <w:rPr>
          <w:rFonts w:ascii="Times New Roman" w:eastAsia="SimSun" w:hAnsi="Times New Roman"/>
          <w:kern w:val="1"/>
          <w:sz w:val="24"/>
          <w:szCs w:val="24"/>
          <w:lang w:eastAsia="zh-CN" w:bidi="hi-IN"/>
        </w:rPr>
        <w:t>tagab, et toetuse saaja raamatupidamises on toetatava projektiga seotud kulud eristatud, kasutades selleks eraldi arvestussüsteemi või raamatupidamiskoode;</w:t>
      </w:r>
    </w:p>
    <w:p w14:paraId="3A120822" w14:textId="77777777" w:rsidR="00A9233F" w:rsidRPr="0036604D" w:rsidRDefault="00A9233F" w:rsidP="00A9233F">
      <w:pPr>
        <w:numPr>
          <w:ilvl w:val="1"/>
          <w:numId w:val="1"/>
        </w:numPr>
        <w:autoSpaceDE w:val="0"/>
        <w:autoSpaceDN w:val="0"/>
        <w:adjustRightInd w:val="0"/>
        <w:spacing w:after="0" w:line="240" w:lineRule="auto"/>
        <w:contextualSpacing/>
        <w:jc w:val="both"/>
        <w:rPr>
          <w:rFonts w:ascii="Times New Roman" w:eastAsia="SimSun" w:hAnsi="Times New Roman"/>
          <w:kern w:val="1"/>
          <w:sz w:val="24"/>
          <w:szCs w:val="24"/>
          <w:lang w:eastAsia="zh-CN" w:bidi="hi-IN"/>
        </w:rPr>
      </w:pPr>
      <w:r w:rsidRPr="0036604D">
        <w:rPr>
          <w:rFonts w:ascii="Times New Roman" w:hAnsi="Times New Roman"/>
          <w:color w:val="202020"/>
          <w:sz w:val="24"/>
          <w:szCs w:val="24"/>
          <w:shd w:val="clear" w:color="auto" w:fill="FFFFFF"/>
        </w:rPr>
        <w:t>säilitab toetuse saamise aluseks olevad dokumendid ja muud tõendid ÜSS §-s 18 nõutud aja jooksul;</w:t>
      </w:r>
    </w:p>
    <w:p w14:paraId="60CEC1EA" w14:textId="77777777" w:rsidR="00A9233F" w:rsidRPr="0036604D" w:rsidRDefault="00A9233F" w:rsidP="00A9233F">
      <w:pPr>
        <w:numPr>
          <w:ilvl w:val="1"/>
          <w:numId w:val="1"/>
        </w:numPr>
        <w:tabs>
          <w:tab w:val="left" w:pos="993"/>
        </w:tabs>
        <w:autoSpaceDE w:val="0"/>
        <w:autoSpaceDN w:val="0"/>
        <w:adjustRightInd w:val="0"/>
        <w:spacing w:after="0" w:line="240" w:lineRule="auto"/>
        <w:contextualSpacing/>
        <w:jc w:val="both"/>
        <w:rPr>
          <w:rFonts w:ascii="Times New Roman" w:eastAsia="SimSun" w:hAnsi="Times New Roman"/>
          <w:kern w:val="1"/>
          <w:sz w:val="24"/>
          <w:szCs w:val="24"/>
          <w:lang w:eastAsia="zh-CN" w:bidi="hi-IN"/>
        </w:rPr>
      </w:pPr>
      <w:r w:rsidRPr="0036604D">
        <w:rPr>
          <w:rFonts w:ascii="Times New Roman" w:eastAsia="SimSun" w:hAnsi="Times New Roman"/>
          <w:kern w:val="1"/>
          <w:sz w:val="24"/>
          <w:szCs w:val="24"/>
          <w:lang w:eastAsia="zh-CN" w:bidi="hi-IN"/>
        </w:rPr>
        <w:t xml:space="preserve">võimaldab </w:t>
      </w:r>
      <w:r w:rsidRPr="0036604D">
        <w:rPr>
          <w:rFonts w:ascii="Times New Roman" w:hAnsi="Times New Roman"/>
          <w:color w:val="202020"/>
          <w:sz w:val="24"/>
          <w:szCs w:val="24"/>
          <w:shd w:val="clear" w:color="auto" w:fill="FFFFFF"/>
        </w:rPr>
        <w:t>audiitoril ja kontrollijal viibida projektiga seotud ruumides ja territooriumil, andma neile projekti elluviimise ja toetuse kasutamise kohta suulisi ja kirjalikke selgitusi ning andmeid, sealhulgas väljavõtteid raamatupidamisprogrammist ja pangakontost, ning võimaldama neil teha dokumentidest koopiaid ja väljavõtteid</w:t>
      </w:r>
      <w:r w:rsidRPr="0036604D">
        <w:rPr>
          <w:rFonts w:ascii="Times New Roman" w:eastAsia="SimSun" w:hAnsi="Times New Roman"/>
          <w:kern w:val="1"/>
          <w:sz w:val="24"/>
          <w:szCs w:val="24"/>
          <w:lang w:eastAsia="zh-CN" w:bidi="hi-IN"/>
        </w:rPr>
        <w:t>;</w:t>
      </w:r>
    </w:p>
    <w:p w14:paraId="76F2055F" w14:textId="77777777" w:rsidR="00A9233F" w:rsidRPr="0036604D" w:rsidRDefault="00A9233F" w:rsidP="00A9233F">
      <w:pPr>
        <w:numPr>
          <w:ilvl w:val="0"/>
          <w:numId w:val="1"/>
        </w:numPr>
        <w:tabs>
          <w:tab w:val="left" w:pos="993"/>
        </w:tabs>
        <w:autoSpaceDE w:val="0"/>
        <w:autoSpaceDN w:val="0"/>
        <w:adjustRightInd w:val="0"/>
        <w:spacing w:after="0" w:line="240" w:lineRule="auto"/>
        <w:contextualSpacing/>
        <w:jc w:val="both"/>
        <w:rPr>
          <w:rFonts w:ascii="Times New Roman" w:eastAsia="SimSun" w:hAnsi="Times New Roman"/>
          <w:kern w:val="1"/>
          <w:sz w:val="24"/>
          <w:szCs w:val="24"/>
          <w:lang w:eastAsia="zh-CN" w:bidi="hi-IN"/>
        </w:rPr>
      </w:pPr>
      <w:r w:rsidRPr="0036604D">
        <w:rPr>
          <w:rFonts w:ascii="Times New Roman" w:hAnsi="Times New Roman"/>
          <w:sz w:val="24"/>
          <w:szCs w:val="24"/>
        </w:rPr>
        <w:t>Toetuse maksmine.</w:t>
      </w:r>
    </w:p>
    <w:p w14:paraId="3DC505C6" w14:textId="77777777" w:rsidR="00A9233F" w:rsidRPr="0036604D" w:rsidRDefault="00A9233F" w:rsidP="00A9233F">
      <w:pPr>
        <w:numPr>
          <w:ilvl w:val="1"/>
          <w:numId w:val="1"/>
        </w:numPr>
        <w:tabs>
          <w:tab w:val="left" w:pos="993"/>
        </w:tabs>
        <w:autoSpaceDE w:val="0"/>
        <w:autoSpaceDN w:val="0"/>
        <w:adjustRightInd w:val="0"/>
        <w:spacing w:after="0" w:line="240" w:lineRule="auto"/>
        <w:contextualSpacing/>
        <w:jc w:val="both"/>
        <w:rPr>
          <w:rFonts w:ascii="Times New Roman" w:eastAsia="SimSun" w:hAnsi="Times New Roman"/>
          <w:kern w:val="1"/>
          <w:sz w:val="24"/>
          <w:szCs w:val="24"/>
          <w:lang w:eastAsia="zh-CN" w:bidi="hi-IN"/>
        </w:rPr>
      </w:pPr>
      <w:r w:rsidRPr="0036604D">
        <w:rPr>
          <w:rFonts w:ascii="Times New Roman" w:eastAsia="SimSun" w:hAnsi="Times New Roman"/>
          <w:kern w:val="1"/>
          <w:sz w:val="24"/>
          <w:szCs w:val="24"/>
          <w:lang w:eastAsia="zh-CN" w:bidi="hi-IN"/>
        </w:rPr>
        <w:t>Toetus</w:t>
      </w:r>
      <w:r>
        <w:rPr>
          <w:rFonts w:ascii="Times New Roman" w:eastAsia="SimSun" w:hAnsi="Times New Roman"/>
          <w:kern w:val="1"/>
          <w:sz w:val="24"/>
          <w:szCs w:val="24"/>
          <w:lang w:eastAsia="zh-CN" w:bidi="hi-IN"/>
        </w:rPr>
        <w:t>e maksmisel kasutatakse lihtsustatud kulude arvestust (tööjõukulude standardiseeritud ühikuhind ning ü</w:t>
      </w:r>
      <w:r w:rsidRPr="006355C3">
        <w:rPr>
          <w:rFonts w:ascii="Times New Roman" w:eastAsia="SimSun" w:hAnsi="Times New Roman"/>
          <w:kern w:val="1"/>
          <w:sz w:val="24"/>
          <w:szCs w:val="24"/>
          <w:lang w:eastAsia="zh-CN" w:bidi="hi-IN"/>
        </w:rPr>
        <w:t>ht</w:t>
      </w:r>
      <w:r>
        <w:rPr>
          <w:rFonts w:ascii="Times New Roman" w:eastAsia="SimSun" w:hAnsi="Times New Roman"/>
          <w:kern w:val="1"/>
          <w:sz w:val="24"/>
          <w:szCs w:val="24"/>
          <w:lang w:eastAsia="zh-CN" w:bidi="hi-IN"/>
        </w:rPr>
        <w:t xml:space="preserve">ne </w:t>
      </w:r>
      <w:r w:rsidRPr="006355C3">
        <w:rPr>
          <w:rFonts w:ascii="Times New Roman" w:eastAsia="SimSun" w:hAnsi="Times New Roman"/>
          <w:kern w:val="1"/>
          <w:sz w:val="24"/>
          <w:szCs w:val="24"/>
          <w:lang w:eastAsia="zh-CN" w:bidi="hi-IN"/>
        </w:rPr>
        <w:t>määra</w:t>
      </w:r>
      <w:r>
        <w:rPr>
          <w:rFonts w:ascii="Times New Roman" w:eastAsia="SimSun" w:hAnsi="Times New Roman"/>
          <w:kern w:val="1"/>
          <w:sz w:val="24"/>
          <w:szCs w:val="24"/>
          <w:lang w:eastAsia="zh-CN" w:bidi="hi-IN"/>
        </w:rPr>
        <w:t xml:space="preserve"> 40% tööjõukulude ühikuhinnast) </w:t>
      </w:r>
      <w:r w:rsidRPr="0036604D">
        <w:rPr>
          <w:rFonts w:ascii="Times New Roman" w:eastAsia="SimSun" w:hAnsi="Times New Roman"/>
          <w:kern w:val="1"/>
          <w:sz w:val="24"/>
          <w:szCs w:val="24"/>
          <w:lang w:eastAsia="zh-CN" w:bidi="hi-IN"/>
        </w:rPr>
        <w:t>lähtudes meetme määruse §-s 22 ja ühendmääruse §-des 24-26, § 28 lõigetes 1 ja 4 sätestatust.</w:t>
      </w:r>
      <w:r>
        <w:rPr>
          <w:rFonts w:ascii="Times New Roman" w:eastAsia="SimSun" w:hAnsi="Times New Roman"/>
          <w:kern w:val="1"/>
          <w:sz w:val="24"/>
          <w:szCs w:val="24"/>
          <w:lang w:eastAsia="zh-CN" w:bidi="hi-IN"/>
        </w:rPr>
        <w:t xml:space="preserve"> Tippspetsialisti</w:t>
      </w:r>
      <w:r w:rsidRPr="00AA1FF7">
        <w:rPr>
          <w:rFonts w:ascii="Times New Roman" w:eastAsia="SimSun" w:hAnsi="Times New Roman"/>
          <w:kern w:val="1"/>
          <w:sz w:val="24"/>
          <w:szCs w:val="24"/>
          <w:lang w:eastAsia="zh-CN" w:bidi="hi-IN"/>
        </w:rPr>
        <w:t xml:space="preserve"> tööjõukulu ühikuhind ühe kuu kohta täiskoormuse korral on </w:t>
      </w:r>
      <w:r>
        <w:rPr>
          <w:rFonts w:ascii="Times New Roman" w:eastAsia="SimSun" w:hAnsi="Times New Roman"/>
          <w:kern w:val="1"/>
          <w:sz w:val="24"/>
          <w:szCs w:val="24"/>
          <w:lang w:eastAsia="zh-CN" w:bidi="hi-IN"/>
        </w:rPr>
        <w:t>4171</w:t>
      </w:r>
      <w:r w:rsidRPr="00AA1FF7">
        <w:rPr>
          <w:rFonts w:ascii="Times New Roman" w:eastAsia="SimSun" w:hAnsi="Times New Roman"/>
          <w:kern w:val="1"/>
          <w:sz w:val="24"/>
          <w:szCs w:val="24"/>
          <w:lang w:eastAsia="zh-CN" w:bidi="hi-IN"/>
        </w:rPr>
        <w:t xml:space="preserve"> eurot.</w:t>
      </w:r>
    </w:p>
    <w:p w14:paraId="4A7B44EF" w14:textId="77777777" w:rsidR="00A9233F" w:rsidRPr="0036604D" w:rsidRDefault="00A9233F" w:rsidP="00A9233F">
      <w:pPr>
        <w:numPr>
          <w:ilvl w:val="1"/>
          <w:numId w:val="1"/>
        </w:numPr>
        <w:tabs>
          <w:tab w:val="left" w:pos="993"/>
        </w:tabs>
        <w:autoSpaceDE w:val="0"/>
        <w:autoSpaceDN w:val="0"/>
        <w:adjustRightInd w:val="0"/>
        <w:spacing w:after="0" w:line="240" w:lineRule="auto"/>
        <w:contextualSpacing/>
        <w:jc w:val="both"/>
        <w:rPr>
          <w:rFonts w:ascii="Times New Roman" w:eastAsia="SimSun" w:hAnsi="Times New Roman"/>
          <w:kern w:val="1"/>
          <w:sz w:val="24"/>
          <w:szCs w:val="24"/>
          <w:lang w:eastAsia="zh-CN" w:bidi="hi-IN"/>
        </w:rPr>
      </w:pPr>
      <w:r w:rsidRPr="0036604D">
        <w:rPr>
          <w:rFonts w:ascii="Times New Roman" w:hAnsi="Times New Roman" w:cs="Mangal"/>
          <w:sz w:val="24"/>
          <w:szCs w:val="21"/>
        </w:rPr>
        <w:t>Kulude lihtsustatud hüvitamis</w:t>
      </w:r>
      <w:r>
        <w:rPr>
          <w:rFonts w:ascii="Times New Roman" w:hAnsi="Times New Roman" w:cs="Mangal"/>
          <w:sz w:val="24"/>
          <w:szCs w:val="21"/>
        </w:rPr>
        <w:t xml:space="preserve">e korral </w:t>
      </w:r>
      <w:r w:rsidRPr="0036604D">
        <w:rPr>
          <w:rFonts w:ascii="Times New Roman" w:hAnsi="Times New Roman" w:cs="Mangal"/>
          <w:sz w:val="24"/>
          <w:szCs w:val="21"/>
        </w:rPr>
        <w:t xml:space="preserve">toetuse väljamaksmisel kulu tegelikku maksumust ja tasumist ei tõendata ega kontrollita. </w:t>
      </w:r>
    </w:p>
    <w:p w14:paraId="76107404" w14:textId="77777777" w:rsidR="00A9233F" w:rsidRPr="00EA449E" w:rsidRDefault="00A9233F" w:rsidP="00A9233F">
      <w:pPr>
        <w:numPr>
          <w:ilvl w:val="1"/>
          <w:numId w:val="1"/>
        </w:numPr>
        <w:tabs>
          <w:tab w:val="left" w:pos="993"/>
        </w:tabs>
        <w:autoSpaceDE w:val="0"/>
        <w:autoSpaceDN w:val="0"/>
        <w:adjustRightInd w:val="0"/>
        <w:spacing w:after="0" w:line="240" w:lineRule="auto"/>
        <w:contextualSpacing/>
        <w:jc w:val="both"/>
        <w:rPr>
          <w:rFonts w:ascii="Times New Roman" w:eastAsia="SimSun" w:hAnsi="Times New Roman"/>
          <w:kern w:val="1"/>
          <w:sz w:val="24"/>
          <w:szCs w:val="24"/>
          <w:lang w:eastAsia="zh-CN" w:bidi="hi-IN"/>
        </w:rPr>
      </w:pPr>
      <w:r w:rsidRPr="00443026">
        <w:rPr>
          <w:rFonts w:ascii="Times New Roman" w:eastAsia="SimSun" w:hAnsi="Times New Roman"/>
          <w:kern w:val="1"/>
          <w:sz w:val="24"/>
          <w:szCs w:val="24"/>
          <w:lang w:eastAsia="zh-CN" w:bidi="hi-IN"/>
        </w:rPr>
        <w:t xml:space="preserve">Ühikuhinna alusel tööjõukulude hüvitamise aluseks on toetuse saaja ja palgatava isiku vahel sõlmitud leping. </w:t>
      </w:r>
    </w:p>
    <w:p w14:paraId="703FAC92" w14:textId="77777777" w:rsidR="00A9233F" w:rsidRPr="0036604D" w:rsidRDefault="00A9233F" w:rsidP="00A9233F">
      <w:pPr>
        <w:numPr>
          <w:ilvl w:val="1"/>
          <w:numId w:val="1"/>
        </w:numPr>
        <w:tabs>
          <w:tab w:val="left" w:pos="993"/>
        </w:tabs>
        <w:autoSpaceDE w:val="0"/>
        <w:autoSpaceDN w:val="0"/>
        <w:adjustRightInd w:val="0"/>
        <w:spacing w:after="0" w:line="240" w:lineRule="auto"/>
        <w:contextualSpacing/>
        <w:jc w:val="both"/>
        <w:rPr>
          <w:rFonts w:ascii="Times New Roman" w:eastAsia="SimSun" w:hAnsi="Times New Roman"/>
          <w:kern w:val="1"/>
          <w:sz w:val="24"/>
          <w:szCs w:val="24"/>
          <w:lang w:eastAsia="zh-CN" w:bidi="hi-IN"/>
        </w:rPr>
      </w:pPr>
      <w:r w:rsidRPr="0036604D">
        <w:rPr>
          <w:rFonts w:ascii="Times New Roman" w:hAnsi="Times New Roman"/>
          <w:sz w:val="24"/>
          <w:szCs w:val="24"/>
        </w:rPr>
        <w:t>Taotluse rahuldamise otsusega määratud abikõlblike kulude maht võib väheneda, kui projekti tegevuste, maksetaotluste menetluse või järelevalve käigus selgub, et tehtud kulud ei ole abikõlblikud.</w:t>
      </w:r>
    </w:p>
    <w:p w14:paraId="55CC4543" w14:textId="77777777" w:rsidR="00A9233F" w:rsidRPr="0036604D" w:rsidRDefault="00A9233F" w:rsidP="00A9233F">
      <w:pPr>
        <w:numPr>
          <w:ilvl w:val="1"/>
          <w:numId w:val="1"/>
        </w:numPr>
        <w:tabs>
          <w:tab w:val="left" w:pos="993"/>
        </w:tabs>
        <w:autoSpaceDE w:val="0"/>
        <w:autoSpaceDN w:val="0"/>
        <w:adjustRightInd w:val="0"/>
        <w:spacing w:after="0" w:line="240" w:lineRule="auto"/>
        <w:contextualSpacing/>
        <w:jc w:val="both"/>
        <w:rPr>
          <w:rFonts w:ascii="Times New Roman" w:eastAsia="SimSun" w:hAnsi="Times New Roman"/>
          <w:kern w:val="1"/>
          <w:sz w:val="24"/>
          <w:szCs w:val="24"/>
          <w:lang w:eastAsia="zh-CN" w:bidi="hi-IN"/>
        </w:rPr>
      </w:pPr>
      <w:r w:rsidRPr="0036604D">
        <w:rPr>
          <w:rFonts w:ascii="Times New Roman" w:hAnsi="Times New Roman"/>
          <w:sz w:val="24"/>
          <w:szCs w:val="24"/>
        </w:rPr>
        <w:t xml:space="preserve">Lõppmakse tehakse pärast lõpparuande kinnitamist </w:t>
      </w:r>
      <w:r>
        <w:rPr>
          <w:rFonts w:ascii="Times New Roman" w:hAnsi="Times New Roman"/>
          <w:sz w:val="24"/>
          <w:szCs w:val="24"/>
        </w:rPr>
        <w:t>rakendusüksuse</w:t>
      </w:r>
      <w:r w:rsidRPr="0036604D">
        <w:rPr>
          <w:rFonts w:ascii="Times New Roman" w:hAnsi="Times New Roman"/>
          <w:sz w:val="24"/>
          <w:szCs w:val="24"/>
        </w:rPr>
        <w:t xml:space="preserve"> poolt.</w:t>
      </w:r>
    </w:p>
    <w:p w14:paraId="188A0EA8" w14:textId="77777777" w:rsidR="00A9233F" w:rsidRPr="0036604D" w:rsidRDefault="00A9233F" w:rsidP="00A9233F">
      <w:pPr>
        <w:numPr>
          <w:ilvl w:val="0"/>
          <w:numId w:val="1"/>
        </w:numPr>
        <w:tabs>
          <w:tab w:val="left" w:pos="993"/>
        </w:tabs>
        <w:autoSpaceDE w:val="0"/>
        <w:autoSpaceDN w:val="0"/>
        <w:adjustRightInd w:val="0"/>
        <w:spacing w:after="0" w:line="240" w:lineRule="auto"/>
        <w:contextualSpacing/>
        <w:jc w:val="both"/>
        <w:rPr>
          <w:rFonts w:ascii="Times New Roman" w:eastAsia="SimSun" w:hAnsi="Times New Roman"/>
          <w:kern w:val="1"/>
          <w:sz w:val="24"/>
          <w:szCs w:val="24"/>
          <w:lang w:eastAsia="zh-CN" w:bidi="hi-IN"/>
        </w:rPr>
      </w:pPr>
      <w:r w:rsidRPr="0036604D">
        <w:rPr>
          <w:rFonts w:ascii="Times New Roman" w:hAnsi="Times New Roman"/>
          <w:sz w:val="24"/>
          <w:szCs w:val="24"/>
        </w:rPr>
        <w:t>Toetuse maksmise aluseks olevate dokumentide, teabe ja aruannete esitamise kord.</w:t>
      </w:r>
    </w:p>
    <w:p w14:paraId="03610B6A" w14:textId="77777777" w:rsidR="00A9233F" w:rsidRPr="0036604D" w:rsidRDefault="00A9233F" w:rsidP="00A9233F">
      <w:pPr>
        <w:numPr>
          <w:ilvl w:val="1"/>
          <w:numId w:val="1"/>
        </w:numPr>
        <w:tabs>
          <w:tab w:val="left" w:pos="993"/>
        </w:tabs>
        <w:autoSpaceDE w:val="0"/>
        <w:autoSpaceDN w:val="0"/>
        <w:adjustRightInd w:val="0"/>
        <w:spacing w:after="0" w:line="240" w:lineRule="auto"/>
        <w:contextualSpacing/>
        <w:jc w:val="both"/>
        <w:rPr>
          <w:rFonts w:ascii="Times New Roman" w:eastAsia="SimSun" w:hAnsi="Times New Roman"/>
          <w:kern w:val="1"/>
          <w:sz w:val="24"/>
          <w:szCs w:val="24"/>
          <w:lang w:eastAsia="zh-CN" w:bidi="hi-IN"/>
        </w:rPr>
      </w:pPr>
      <w:r w:rsidRPr="0036604D">
        <w:rPr>
          <w:rFonts w:ascii="Times New Roman" w:hAnsi="Times New Roman"/>
          <w:sz w:val="24"/>
          <w:szCs w:val="24"/>
        </w:rPr>
        <w:t>Toetuse saaja esitab rakendusüksusele ühe kuu jooksul taotluse rahuldamise otsuse saamisest abikõlblikkuse perioodi maksetaotluste esitamise vormikohase prognoosi. Maksetaotluste prognoosis toodud andmed (tähtajad, summad) on aluseks maksetaotluste esitamisel;</w:t>
      </w:r>
    </w:p>
    <w:p w14:paraId="3CFFA6D1" w14:textId="77777777" w:rsidR="00A9233F" w:rsidRPr="0036604D" w:rsidRDefault="00A9233F" w:rsidP="00A9233F">
      <w:pPr>
        <w:numPr>
          <w:ilvl w:val="1"/>
          <w:numId w:val="1"/>
        </w:numPr>
        <w:tabs>
          <w:tab w:val="left" w:pos="993"/>
        </w:tabs>
        <w:autoSpaceDE w:val="0"/>
        <w:autoSpaceDN w:val="0"/>
        <w:adjustRightInd w:val="0"/>
        <w:spacing w:after="0" w:line="240" w:lineRule="auto"/>
        <w:contextualSpacing/>
        <w:jc w:val="both"/>
        <w:rPr>
          <w:rFonts w:ascii="Times New Roman" w:eastAsia="SimSun" w:hAnsi="Times New Roman"/>
          <w:kern w:val="1"/>
          <w:sz w:val="24"/>
          <w:szCs w:val="24"/>
          <w:lang w:eastAsia="zh-CN" w:bidi="hi-IN"/>
        </w:rPr>
      </w:pPr>
      <w:r w:rsidRPr="0036604D">
        <w:rPr>
          <w:rFonts w:ascii="Times New Roman" w:hAnsi="Times New Roman"/>
          <w:sz w:val="24"/>
          <w:szCs w:val="24"/>
        </w:rPr>
        <w:t xml:space="preserve">Toetuse </w:t>
      </w:r>
      <w:r w:rsidRPr="0036604D">
        <w:rPr>
          <w:rFonts w:ascii="Times New Roman" w:eastAsia="SimSun" w:hAnsi="Times New Roman"/>
          <w:kern w:val="1"/>
          <w:sz w:val="24"/>
          <w:szCs w:val="24"/>
          <w:lang w:eastAsia="zh-CN" w:bidi="hi-IN"/>
        </w:rPr>
        <w:t xml:space="preserve">saaja esitab projekti </w:t>
      </w:r>
      <w:r w:rsidRPr="0036604D">
        <w:rPr>
          <w:rFonts w:ascii="Times New Roman" w:hAnsi="Times New Roman"/>
          <w:sz w:val="24"/>
          <w:szCs w:val="24"/>
        </w:rPr>
        <w:t>aruanded rakendusüksuse poolt kinnitatud vormil ja määratud tähtaegadeks, lähtudes meetme määruse §-s 2</w:t>
      </w:r>
      <w:r>
        <w:rPr>
          <w:rFonts w:ascii="Times New Roman" w:hAnsi="Times New Roman"/>
          <w:sz w:val="24"/>
          <w:szCs w:val="24"/>
        </w:rPr>
        <w:t>1</w:t>
      </w:r>
      <w:r w:rsidRPr="0036604D">
        <w:rPr>
          <w:rFonts w:ascii="Times New Roman" w:hAnsi="Times New Roman"/>
          <w:sz w:val="24"/>
          <w:szCs w:val="24"/>
        </w:rPr>
        <w:t xml:space="preserve"> sätestatust, järgmiselt:</w:t>
      </w:r>
    </w:p>
    <w:p w14:paraId="36AF7A71" w14:textId="77777777" w:rsidR="00A9233F" w:rsidRPr="0036604D" w:rsidRDefault="00A9233F" w:rsidP="00A9233F">
      <w:pPr>
        <w:numPr>
          <w:ilvl w:val="2"/>
          <w:numId w:val="1"/>
        </w:numPr>
        <w:tabs>
          <w:tab w:val="left" w:pos="993"/>
        </w:tabs>
        <w:autoSpaceDE w:val="0"/>
        <w:autoSpaceDN w:val="0"/>
        <w:adjustRightInd w:val="0"/>
        <w:spacing w:after="0" w:line="240" w:lineRule="auto"/>
        <w:contextualSpacing/>
        <w:jc w:val="both"/>
        <w:rPr>
          <w:rFonts w:ascii="Times New Roman" w:eastAsia="SimSun" w:hAnsi="Times New Roman"/>
          <w:kern w:val="1"/>
          <w:sz w:val="24"/>
          <w:szCs w:val="24"/>
          <w:lang w:eastAsia="zh-CN" w:bidi="hi-IN"/>
        </w:rPr>
      </w:pPr>
      <w:r w:rsidRPr="0036604D">
        <w:rPr>
          <w:rFonts w:ascii="Times New Roman" w:hAnsi="Times New Roman"/>
          <w:sz w:val="24"/>
          <w:szCs w:val="24"/>
        </w:rPr>
        <w:t xml:space="preserve">esimese aruande </w:t>
      </w:r>
      <w:r w:rsidRPr="00A36538">
        <w:rPr>
          <w:rFonts w:ascii="Times New Roman" w:hAnsi="Times New Roman"/>
          <w:sz w:val="24"/>
          <w:szCs w:val="24"/>
        </w:rPr>
        <w:t>15.0</w:t>
      </w:r>
      <w:r>
        <w:rPr>
          <w:rFonts w:ascii="Times New Roman" w:hAnsi="Times New Roman"/>
          <w:sz w:val="24"/>
          <w:szCs w:val="24"/>
        </w:rPr>
        <w:t>3</w:t>
      </w:r>
      <w:r w:rsidRPr="00A36538">
        <w:rPr>
          <w:rFonts w:ascii="Times New Roman" w:hAnsi="Times New Roman"/>
          <w:sz w:val="24"/>
          <w:szCs w:val="24"/>
        </w:rPr>
        <w:t xml:space="preserve">.2026 </w:t>
      </w:r>
      <w:r w:rsidRPr="0036604D">
        <w:rPr>
          <w:rFonts w:ascii="Times New Roman" w:hAnsi="Times New Roman"/>
          <w:sz w:val="24"/>
          <w:szCs w:val="24"/>
        </w:rPr>
        <w:t xml:space="preserve">(perioodi </w:t>
      </w:r>
      <w:r w:rsidRPr="005702B3">
        <w:rPr>
          <w:rFonts w:ascii="Times New Roman" w:hAnsi="Times New Roman"/>
          <w:sz w:val="24"/>
          <w:szCs w:val="24"/>
        </w:rPr>
        <w:t>15.08.25-28.02.26</w:t>
      </w:r>
      <w:r w:rsidRPr="00A36538">
        <w:rPr>
          <w:rFonts w:ascii="Times New Roman" w:hAnsi="Times New Roman"/>
          <w:sz w:val="24"/>
          <w:szCs w:val="24"/>
        </w:rPr>
        <w:t xml:space="preserve"> </w:t>
      </w:r>
      <w:r w:rsidRPr="0036604D">
        <w:rPr>
          <w:rFonts w:ascii="Times New Roman" w:hAnsi="Times New Roman"/>
          <w:sz w:val="24"/>
          <w:szCs w:val="24"/>
        </w:rPr>
        <w:t>kohta);</w:t>
      </w:r>
    </w:p>
    <w:p w14:paraId="04F904B7" w14:textId="77777777" w:rsidR="00A9233F" w:rsidRPr="00DE697B" w:rsidRDefault="00A9233F" w:rsidP="00A9233F">
      <w:pPr>
        <w:numPr>
          <w:ilvl w:val="2"/>
          <w:numId w:val="1"/>
        </w:numPr>
        <w:tabs>
          <w:tab w:val="left" w:pos="993"/>
        </w:tabs>
        <w:autoSpaceDE w:val="0"/>
        <w:autoSpaceDN w:val="0"/>
        <w:adjustRightInd w:val="0"/>
        <w:spacing w:after="0" w:line="240" w:lineRule="auto"/>
        <w:contextualSpacing/>
        <w:jc w:val="both"/>
        <w:rPr>
          <w:rFonts w:ascii="Times New Roman" w:eastAsia="SimSun" w:hAnsi="Times New Roman"/>
          <w:kern w:val="1"/>
          <w:sz w:val="24"/>
          <w:szCs w:val="24"/>
          <w:lang w:eastAsia="zh-CN" w:bidi="hi-IN"/>
        </w:rPr>
      </w:pPr>
      <w:r w:rsidRPr="0036604D">
        <w:rPr>
          <w:rFonts w:ascii="Times New Roman" w:hAnsi="Times New Roman"/>
          <w:sz w:val="24"/>
          <w:szCs w:val="24"/>
        </w:rPr>
        <w:t xml:space="preserve">teise aruande </w:t>
      </w:r>
      <w:r w:rsidRPr="005702B3">
        <w:rPr>
          <w:rFonts w:ascii="Times New Roman" w:hAnsi="Times New Roman"/>
          <w:sz w:val="24"/>
          <w:szCs w:val="24"/>
        </w:rPr>
        <w:t>15.09.2026</w:t>
      </w:r>
      <w:r w:rsidRPr="00A36538">
        <w:rPr>
          <w:rFonts w:ascii="Times New Roman" w:hAnsi="Times New Roman"/>
          <w:sz w:val="24"/>
          <w:szCs w:val="24"/>
        </w:rPr>
        <w:t xml:space="preserve"> </w:t>
      </w:r>
      <w:r w:rsidRPr="0036604D">
        <w:rPr>
          <w:rFonts w:ascii="Times New Roman" w:hAnsi="Times New Roman"/>
          <w:sz w:val="24"/>
          <w:szCs w:val="24"/>
        </w:rPr>
        <w:t xml:space="preserve">(perioodi </w:t>
      </w:r>
      <w:r w:rsidRPr="008B3A7C">
        <w:rPr>
          <w:rFonts w:ascii="Times New Roman" w:hAnsi="Times New Roman"/>
          <w:sz w:val="24"/>
          <w:szCs w:val="24"/>
        </w:rPr>
        <w:t>01.03.26-31.08.26</w:t>
      </w:r>
      <w:r>
        <w:rPr>
          <w:rFonts w:ascii="Times New Roman" w:hAnsi="Times New Roman"/>
          <w:sz w:val="24"/>
          <w:szCs w:val="24"/>
        </w:rPr>
        <w:t xml:space="preserve"> </w:t>
      </w:r>
      <w:r w:rsidRPr="0036604D">
        <w:rPr>
          <w:rFonts w:ascii="Times New Roman" w:hAnsi="Times New Roman"/>
          <w:sz w:val="24"/>
          <w:szCs w:val="24"/>
        </w:rPr>
        <w:t>kohta);</w:t>
      </w:r>
    </w:p>
    <w:p w14:paraId="603694C7" w14:textId="77777777" w:rsidR="00A9233F" w:rsidRPr="0036604D" w:rsidRDefault="00A9233F" w:rsidP="00A9233F">
      <w:pPr>
        <w:numPr>
          <w:ilvl w:val="2"/>
          <w:numId w:val="1"/>
        </w:numPr>
        <w:tabs>
          <w:tab w:val="left" w:pos="993"/>
        </w:tabs>
        <w:autoSpaceDE w:val="0"/>
        <w:autoSpaceDN w:val="0"/>
        <w:adjustRightInd w:val="0"/>
        <w:spacing w:after="0" w:line="240" w:lineRule="auto"/>
        <w:contextualSpacing/>
        <w:jc w:val="both"/>
        <w:rPr>
          <w:rFonts w:ascii="Times New Roman" w:eastAsia="SimSun" w:hAnsi="Times New Roman"/>
          <w:kern w:val="1"/>
          <w:sz w:val="24"/>
          <w:szCs w:val="24"/>
          <w:lang w:eastAsia="zh-CN" w:bidi="hi-IN"/>
        </w:rPr>
      </w:pPr>
      <w:r>
        <w:rPr>
          <w:rFonts w:ascii="Times New Roman" w:hAnsi="Times New Roman"/>
          <w:sz w:val="24"/>
          <w:szCs w:val="24"/>
        </w:rPr>
        <w:t xml:space="preserve">kolmanda aruande </w:t>
      </w:r>
      <w:r w:rsidRPr="008B3A7C">
        <w:rPr>
          <w:rFonts w:ascii="Times New Roman" w:hAnsi="Times New Roman"/>
          <w:sz w:val="24"/>
          <w:szCs w:val="24"/>
        </w:rPr>
        <w:t>15.03.2027</w:t>
      </w:r>
      <w:r w:rsidRPr="00A36538">
        <w:rPr>
          <w:rFonts w:ascii="Times New Roman" w:hAnsi="Times New Roman"/>
          <w:sz w:val="24"/>
          <w:szCs w:val="24"/>
        </w:rPr>
        <w:t xml:space="preserve"> </w:t>
      </w:r>
      <w:r w:rsidRPr="0036604D">
        <w:rPr>
          <w:rFonts w:ascii="Times New Roman" w:hAnsi="Times New Roman"/>
          <w:sz w:val="24"/>
          <w:szCs w:val="24"/>
        </w:rPr>
        <w:t xml:space="preserve">(perioodi </w:t>
      </w:r>
      <w:r w:rsidRPr="008B3A7C">
        <w:rPr>
          <w:rFonts w:ascii="Times New Roman" w:hAnsi="Times New Roman"/>
          <w:sz w:val="24"/>
          <w:szCs w:val="24"/>
        </w:rPr>
        <w:t>01.09.26-28.02.27</w:t>
      </w:r>
      <w:r w:rsidRPr="00A36538">
        <w:rPr>
          <w:rFonts w:ascii="Times New Roman" w:hAnsi="Times New Roman"/>
          <w:sz w:val="24"/>
          <w:szCs w:val="24"/>
        </w:rPr>
        <w:t xml:space="preserve"> </w:t>
      </w:r>
      <w:r w:rsidRPr="0036604D">
        <w:rPr>
          <w:rFonts w:ascii="Times New Roman" w:hAnsi="Times New Roman"/>
          <w:sz w:val="24"/>
          <w:szCs w:val="24"/>
        </w:rPr>
        <w:t>kohta);</w:t>
      </w:r>
    </w:p>
    <w:p w14:paraId="28F68E41" w14:textId="77777777" w:rsidR="00A9233F" w:rsidRPr="0036604D" w:rsidRDefault="00A9233F" w:rsidP="00A9233F">
      <w:pPr>
        <w:numPr>
          <w:ilvl w:val="2"/>
          <w:numId w:val="1"/>
        </w:numPr>
        <w:tabs>
          <w:tab w:val="left" w:pos="993"/>
        </w:tabs>
        <w:autoSpaceDE w:val="0"/>
        <w:autoSpaceDN w:val="0"/>
        <w:adjustRightInd w:val="0"/>
        <w:spacing w:after="0" w:line="240" w:lineRule="auto"/>
        <w:contextualSpacing/>
        <w:jc w:val="both"/>
        <w:rPr>
          <w:rFonts w:ascii="Times New Roman" w:eastAsia="SimSun" w:hAnsi="Times New Roman"/>
          <w:kern w:val="1"/>
          <w:sz w:val="24"/>
          <w:szCs w:val="24"/>
          <w:lang w:eastAsia="zh-CN" w:bidi="hi-IN"/>
        </w:rPr>
      </w:pPr>
      <w:r w:rsidRPr="0036604D">
        <w:rPr>
          <w:rFonts w:ascii="Times New Roman" w:hAnsi="Times New Roman"/>
          <w:sz w:val="24"/>
          <w:szCs w:val="24"/>
        </w:rPr>
        <w:t>lõpparuande kahe kuu jooksul pärast projekti tegevuste lõppu. Lõpparuanne peab sisaldama meetme määruse § 21 lg-s 2 loetletud teavet.</w:t>
      </w:r>
    </w:p>
    <w:p w14:paraId="15BC260A" w14:textId="77777777" w:rsidR="00A9233F" w:rsidRPr="0036604D" w:rsidRDefault="00A9233F" w:rsidP="00A9233F">
      <w:pPr>
        <w:numPr>
          <w:ilvl w:val="1"/>
          <w:numId w:val="1"/>
        </w:numPr>
        <w:tabs>
          <w:tab w:val="left" w:pos="993"/>
        </w:tabs>
        <w:autoSpaceDE w:val="0"/>
        <w:autoSpaceDN w:val="0"/>
        <w:adjustRightInd w:val="0"/>
        <w:spacing w:after="0" w:line="240" w:lineRule="auto"/>
        <w:contextualSpacing/>
        <w:jc w:val="both"/>
        <w:rPr>
          <w:rFonts w:ascii="Times New Roman" w:eastAsia="SimSun" w:hAnsi="Times New Roman"/>
          <w:kern w:val="1"/>
          <w:sz w:val="24"/>
          <w:szCs w:val="24"/>
          <w:lang w:eastAsia="zh-CN" w:bidi="hi-IN"/>
        </w:rPr>
      </w:pPr>
      <w:r w:rsidRPr="0036604D">
        <w:rPr>
          <w:rFonts w:ascii="Times New Roman" w:hAnsi="Times New Roman"/>
          <w:sz w:val="24"/>
          <w:szCs w:val="24"/>
        </w:rPr>
        <w:t>Toetuse saaja esitab maksetaotlused ja aruanded, samuti toetuse maksmise aluseks olevad dokumendid ja teabe e-toetuste keskkonna kaudu.</w:t>
      </w:r>
    </w:p>
    <w:p w14:paraId="6E0BF99D" w14:textId="77777777" w:rsidR="00A9233F" w:rsidRPr="0036604D" w:rsidRDefault="00A9233F" w:rsidP="00A9233F">
      <w:pPr>
        <w:widowControl w:val="0"/>
        <w:numPr>
          <w:ilvl w:val="0"/>
          <w:numId w:val="1"/>
        </w:numPr>
        <w:suppressAutoHyphens/>
        <w:autoSpaceDE w:val="0"/>
        <w:autoSpaceDN w:val="0"/>
        <w:adjustRightInd w:val="0"/>
        <w:spacing w:after="0" w:line="240" w:lineRule="auto"/>
        <w:contextualSpacing/>
        <w:jc w:val="both"/>
        <w:rPr>
          <w:rFonts w:ascii="Times New Roman" w:eastAsia="SimSun" w:hAnsi="Times New Roman"/>
          <w:kern w:val="1"/>
          <w:sz w:val="24"/>
          <w:szCs w:val="24"/>
          <w:lang w:eastAsia="zh-CN" w:bidi="hi-IN"/>
        </w:rPr>
      </w:pPr>
      <w:r w:rsidRPr="0036604D">
        <w:rPr>
          <w:rFonts w:ascii="Times New Roman" w:eastAsia="SimSun" w:hAnsi="Times New Roman"/>
          <w:kern w:val="1"/>
          <w:sz w:val="24"/>
          <w:szCs w:val="24"/>
          <w:lang w:eastAsia="zh-CN" w:bidi="hi-IN"/>
        </w:rPr>
        <w:t>Rakendusüksus võib peatada maksetaotluse menetlemise osaliselt või täielikult ühendmääruse §-s 33 sätestatud juhul.</w:t>
      </w:r>
    </w:p>
    <w:p w14:paraId="5C73EDC6" w14:textId="77777777" w:rsidR="00A9233F" w:rsidRPr="0036604D" w:rsidRDefault="00A9233F" w:rsidP="00A9233F">
      <w:pPr>
        <w:widowControl w:val="0"/>
        <w:numPr>
          <w:ilvl w:val="0"/>
          <w:numId w:val="1"/>
        </w:numPr>
        <w:suppressAutoHyphens/>
        <w:spacing w:after="0" w:line="240" w:lineRule="auto"/>
        <w:jc w:val="both"/>
        <w:rPr>
          <w:rFonts w:ascii="Times New Roman" w:hAnsi="Times New Roman"/>
          <w:sz w:val="24"/>
          <w:szCs w:val="24"/>
        </w:rPr>
      </w:pPr>
      <w:r w:rsidRPr="0036604D">
        <w:rPr>
          <w:rFonts w:ascii="Times New Roman" w:hAnsi="Times New Roman"/>
          <w:sz w:val="24"/>
          <w:szCs w:val="24"/>
        </w:rPr>
        <w:t xml:space="preserve">Rakendusüksus teeb finantskorrektsiooni otsuse </w:t>
      </w:r>
      <w:r w:rsidRPr="0036604D">
        <w:rPr>
          <w:rFonts w:ascii="Times New Roman" w:hAnsi="Times New Roman"/>
          <w:color w:val="202020"/>
          <w:sz w:val="24"/>
          <w:szCs w:val="24"/>
          <w:shd w:val="clear" w:color="auto" w:fill="FFFFFF"/>
        </w:rPr>
        <w:t>ÜSS</w:t>
      </w:r>
      <w:r w:rsidRPr="0036604D">
        <w:rPr>
          <w:rFonts w:ascii="Times New Roman" w:hAnsi="Times New Roman"/>
          <w:sz w:val="24"/>
          <w:szCs w:val="24"/>
        </w:rPr>
        <w:t xml:space="preserve"> §-s 28 ja ühendmääruse §-s 34  sätestatud alustel. </w:t>
      </w:r>
    </w:p>
    <w:p w14:paraId="6675BAF1" w14:textId="77777777" w:rsidR="00A9233F" w:rsidRPr="0036604D" w:rsidRDefault="00A9233F" w:rsidP="00A9233F">
      <w:pPr>
        <w:widowControl w:val="0"/>
        <w:numPr>
          <w:ilvl w:val="0"/>
          <w:numId w:val="1"/>
        </w:numPr>
        <w:suppressAutoHyphens/>
        <w:spacing w:after="0" w:line="240" w:lineRule="auto"/>
        <w:jc w:val="both"/>
        <w:rPr>
          <w:rFonts w:ascii="Times New Roman" w:hAnsi="Times New Roman"/>
          <w:sz w:val="24"/>
          <w:szCs w:val="24"/>
        </w:rPr>
      </w:pPr>
      <w:r w:rsidRPr="0036604D">
        <w:rPr>
          <w:rFonts w:ascii="Times New Roman" w:hAnsi="Times New Roman"/>
          <w:sz w:val="24"/>
          <w:szCs w:val="24"/>
        </w:rPr>
        <w:lastRenderedPageBreak/>
        <w:t>Taotluse rahuldamise otsuse võib rakendusüksus osaliselt või täielikult kehtetuks tunnistada ühendmääruse § 14 lõigetes 1 ja 2 nimetatud juhtudel.</w:t>
      </w:r>
    </w:p>
    <w:p w14:paraId="4D918C9C" w14:textId="77777777" w:rsidR="00A9233F" w:rsidRPr="0036604D" w:rsidRDefault="00A9233F" w:rsidP="00A9233F">
      <w:pPr>
        <w:autoSpaceDE w:val="0"/>
        <w:autoSpaceDN w:val="0"/>
        <w:adjustRightInd w:val="0"/>
        <w:spacing w:after="0" w:line="240" w:lineRule="auto"/>
        <w:jc w:val="both"/>
        <w:rPr>
          <w:rFonts w:ascii="Times New Roman" w:hAnsi="Times New Roman"/>
          <w:color w:val="000000"/>
          <w:sz w:val="24"/>
          <w:szCs w:val="24"/>
        </w:rPr>
      </w:pPr>
    </w:p>
    <w:p w14:paraId="63CC2D70" w14:textId="77777777" w:rsidR="00A9233F" w:rsidRPr="0036604D" w:rsidRDefault="00A9233F" w:rsidP="00A9233F">
      <w:pPr>
        <w:widowControl w:val="0"/>
        <w:suppressAutoHyphens/>
        <w:spacing w:after="0" w:line="240" w:lineRule="auto"/>
        <w:jc w:val="both"/>
        <w:rPr>
          <w:rFonts w:ascii="Times New Roman" w:eastAsia="SimSun" w:hAnsi="Times New Roman"/>
          <w:b/>
          <w:bCs/>
          <w:kern w:val="1"/>
          <w:sz w:val="24"/>
          <w:szCs w:val="24"/>
          <w:lang w:eastAsia="zh-CN" w:bidi="hi-IN"/>
        </w:rPr>
      </w:pPr>
      <w:r w:rsidRPr="0036604D">
        <w:rPr>
          <w:rFonts w:ascii="Times New Roman" w:eastAsia="SimSun" w:hAnsi="Times New Roman"/>
          <w:b/>
          <w:bCs/>
          <w:kern w:val="1"/>
          <w:sz w:val="24"/>
          <w:szCs w:val="24"/>
          <w:lang w:eastAsia="zh-CN" w:bidi="hi-IN"/>
        </w:rPr>
        <w:t>Otsuse vaidlustamine</w:t>
      </w:r>
    </w:p>
    <w:p w14:paraId="2AF809B1" w14:textId="77777777" w:rsidR="00A9233F" w:rsidRPr="0036604D" w:rsidRDefault="00A9233F" w:rsidP="00A9233F">
      <w:pPr>
        <w:widowControl w:val="0"/>
        <w:suppressAutoHyphens/>
        <w:spacing w:after="0" w:line="240" w:lineRule="auto"/>
        <w:jc w:val="both"/>
        <w:rPr>
          <w:rFonts w:ascii="Times New Roman" w:eastAsia="SimSun" w:hAnsi="Times New Roman"/>
          <w:kern w:val="1"/>
          <w:sz w:val="24"/>
          <w:szCs w:val="24"/>
          <w:lang w:eastAsia="zh-CN" w:bidi="hi-IN"/>
        </w:rPr>
      </w:pPr>
    </w:p>
    <w:p w14:paraId="08988347" w14:textId="77777777" w:rsidR="00A9233F" w:rsidRPr="0036604D" w:rsidRDefault="00A9233F" w:rsidP="00A9233F">
      <w:pPr>
        <w:widowControl w:val="0"/>
        <w:suppressAutoHyphens/>
        <w:spacing w:after="0" w:line="240" w:lineRule="auto"/>
        <w:jc w:val="both"/>
        <w:rPr>
          <w:rFonts w:ascii="Times New Roman" w:eastAsia="SimSun" w:hAnsi="Times New Roman" w:cs="Mangal"/>
          <w:kern w:val="1"/>
          <w:sz w:val="24"/>
          <w:szCs w:val="24"/>
          <w:lang w:eastAsia="zh-CN" w:bidi="hi-IN"/>
        </w:rPr>
      </w:pPr>
      <w:r w:rsidRPr="0036604D">
        <w:rPr>
          <w:rFonts w:ascii="Times New Roman" w:eastAsia="SimSun" w:hAnsi="Times New Roman" w:cs="Mangal"/>
          <w:kern w:val="1"/>
          <w:sz w:val="24"/>
          <w:szCs w:val="24"/>
          <w:lang w:eastAsia="zh-CN" w:bidi="hi-IN"/>
        </w:rPr>
        <w:t>Otsuse peale võib esitada vaide rakendusüksusele meetme määruse §-s 24, ÜSS-is ja haldusmenetluse seaduses sätestatud korras 30 päeva jooksul arvates päevast, mil vaide esitaja sai või pidi otsusest teada saama.</w:t>
      </w:r>
    </w:p>
    <w:p w14:paraId="47748CEB" w14:textId="77777777" w:rsidR="00C10301" w:rsidRDefault="00C10301" w:rsidP="00657465">
      <w:pPr>
        <w:spacing w:after="0"/>
        <w:rPr>
          <w:rFonts w:ascii="Times New Roman" w:hAnsi="Times New Roman" w:cs="Times New Roman"/>
          <w:sz w:val="24"/>
          <w:szCs w:val="24"/>
        </w:rPr>
      </w:pPr>
    </w:p>
    <w:p w14:paraId="377647B9" w14:textId="77777777" w:rsidR="00B07FB5" w:rsidRPr="00A162E7" w:rsidRDefault="00B07FB5" w:rsidP="00B07FB5">
      <w:pPr>
        <w:tabs>
          <w:tab w:val="left" w:pos="2715"/>
        </w:tabs>
        <w:spacing w:after="0" w:line="240" w:lineRule="auto"/>
        <w:rPr>
          <w:rFonts w:ascii="Times New Roman" w:hAnsi="Times New Roman"/>
          <w:sz w:val="24"/>
          <w:szCs w:val="24"/>
        </w:rPr>
      </w:pPr>
    </w:p>
    <w:p w14:paraId="4FAA4ADD" w14:textId="77777777" w:rsidR="00C10301" w:rsidRDefault="00C10301" w:rsidP="00B07FB5">
      <w:pPr>
        <w:spacing w:after="0" w:line="240" w:lineRule="auto"/>
        <w:rPr>
          <w:rFonts w:ascii="Times New Roman" w:hAnsi="Times New Roman"/>
          <w:sz w:val="24"/>
          <w:szCs w:val="24"/>
        </w:rPr>
      </w:pPr>
      <w:r>
        <w:rPr>
          <w:rFonts w:ascii="Times New Roman" w:hAnsi="Times New Roman"/>
          <w:sz w:val="24"/>
          <w:szCs w:val="24"/>
        </w:rPr>
        <w:t>(allkirjastatud digitaalselt</w:t>
      </w:r>
      <w:r w:rsidR="00E67051">
        <w:rPr>
          <w:rFonts w:ascii="Times New Roman" w:hAnsi="Times New Roman"/>
          <w:sz w:val="24"/>
          <w:szCs w:val="24"/>
        </w:rPr>
        <w:t>)</w:t>
      </w:r>
    </w:p>
    <w:p w14:paraId="5306E523" w14:textId="77777777" w:rsidR="00C10301" w:rsidRPr="00BB0A57" w:rsidRDefault="00C10301" w:rsidP="00B07FB5">
      <w:pPr>
        <w:spacing w:after="0" w:line="240" w:lineRule="auto"/>
        <w:rPr>
          <w:rFonts w:ascii="Times New Roman" w:hAnsi="Times New Roman"/>
          <w:color w:val="000000" w:themeColor="text1"/>
          <w:sz w:val="24"/>
          <w:szCs w:val="24"/>
        </w:rPr>
      </w:pPr>
    </w:p>
    <w:p w14:paraId="7CEA8C07" w14:textId="1748EF8F" w:rsidR="00704085" w:rsidRPr="00704085" w:rsidRDefault="00704085" w:rsidP="00B07FB5">
      <w:pPr>
        <w:spacing w:after="0" w:line="240" w:lineRule="auto"/>
        <w:rPr>
          <w:rFonts w:ascii="Times New Roman" w:hAnsi="Times New Roman"/>
          <w:color w:val="000000" w:themeColor="text1"/>
          <w:sz w:val="24"/>
          <w:szCs w:val="24"/>
        </w:rPr>
      </w:pPr>
      <w:r w:rsidRPr="00704085">
        <w:rPr>
          <w:rFonts w:ascii="Times New Roman" w:hAnsi="Times New Roman"/>
          <w:color w:val="000000" w:themeColor="text1"/>
          <w:sz w:val="24"/>
          <w:szCs w:val="24"/>
        </w:rPr>
        <w:fldChar w:fldCharType="begin"/>
      </w:r>
      <w:r w:rsidR="00873AF9">
        <w:rPr>
          <w:rFonts w:ascii="Times New Roman" w:hAnsi="Times New Roman"/>
          <w:color w:val="000000" w:themeColor="text1"/>
          <w:sz w:val="24"/>
          <w:szCs w:val="24"/>
        </w:rPr>
        <w:instrText xml:space="preserve"> delta_signerName  \* MERGEFORMAT</w:instrText>
      </w:r>
      <w:r w:rsidRPr="00704085">
        <w:rPr>
          <w:rFonts w:ascii="Times New Roman" w:hAnsi="Times New Roman"/>
          <w:color w:val="000000" w:themeColor="text1"/>
          <w:sz w:val="24"/>
          <w:szCs w:val="24"/>
        </w:rPr>
        <w:fldChar w:fldCharType="separate"/>
      </w:r>
      <w:r w:rsidR="00873AF9">
        <w:rPr>
          <w:rFonts w:ascii="Times New Roman" w:hAnsi="Times New Roman"/>
          <w:color w:val="000000" w:themeColor="text1"/>
          <w:sz w:val="24"/>
          <w:szCs w:val="24"/>
        </w:rPr>
        <w:t>Urve Vool</w:t>
      </w:r>
      <w:r w:rsidRPr="00704085">
        <w:rPr>
          <w:rFonts w:ascii="Times New Roman" w:hAnsi="Times New Roman"/>
          <w:color w:val="000000" w:themeColor="text1"/>
          <w:sz w:val="24"/>
          <w:szCs w:val="24"/>
        </w:rPr>
        <w:fldChar w:fldCharType="end"/>
      </w:r>
    </w:p>
    <w:p w14:paraId="4D0AEE11" w14:textId="7A5EDCE9" w:rsidR="00E67051" w:rsidRPr="00C67089" w:rsidRDefault="00842346" w:rsidP="00B07FB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ha</w:t>
      </w:r>
      <w:r w:rsidRPr="00842346">
        <w:rPr>
          <w:rFonts w:ascii="Times New Roman" w:hAnsi="Times New Roman"/>
          <w:color w:val="000000" w:themeColor="text1"/>
          <w:sz w:val="24"/>
          <w:szCs w:val="24"/>
        </w:rPr>
        <w:t>riduse_ teaduse ja</w:t>
      </w:r>
      <w:r>
        <w:rPr>
          <w:rFonts w:ascii="Times New Roman" w:hAnsi="Times New Roman"/>
          <w:color w:val="000000" w:themeColor="text1"/>
          <w:sz w:val="24"/>
          <w:szCs w:val="24"/>
        </w:rPr>
        <w:t xml:space="preserve"> i</w:t>
      </w:r>
      <w:r w:rsidRPr="00842346">
        <w:rPr>
          <w:rFonts w:ascii="Times New Roman" w:hAnsi="Times New Roman"/>
          <w:color w:val="000000" w:themeColor="text1"/>
          <w:sz w:val="24"/>
          <w:szCs w:val="24"/>
        </w:rPr>
        <w:t xml:space="preserve">nterregi </w:t>
      </w:r>
      <w:r w:rsidR="00E67051">
        <w:rPr>
          <w:rFonts w:ascii="Times New Roman" w:hAnsi="Times New Roman"/>
          <w:color w:val="000000" w:themeColor="text1"/>
          <w:sz w:val="24"/>
          <w:szCs w:val="24"/>
        </w:rPr>
        <w:fldChar w:fldCharType="begin"/>
      </w:r>
      <w:r w:rsidR="00873AF9">
        <w:rPr>
          <w:rFonts w:ascii="Times New Roman" w:hAnsi="Times New Roman"/>
          <w:color w:val="000000" w:themeColor="text1"/>
          <w:sz w:val="24"/>
          <w:szCs w:val="24"/>
        </w:rPr>
        <w:instrText xml:space="preserve"> delta_signerJobTitle  \* MERGEFORMAT</w:instrText>
      </w:r>
      <w:r w:rsidR="00E67051">
        <w:rPr>
          <w:rFonts w:ascii="Times New Roman" w:hAnsi="Times New Roman"/>
          <w:color w:val="000000" w:themeColor="text1"/>
          <w:sz w:val="24"/>
          <w:szCs w:val="24"/>
        </w:rPr>
        <w:fldChar w:fldCharType="separate"/>
      </w:r>
      <w:r w:rsidR="00873AF9">
        <w:rPr>
          <w:rFonts w:ascii="Times New Roman" w:hAnsi="Times New Roman"/>
          <w:color w:val="000000" w:themeColor="text1"/>
          <w:sz w:val="24"/>
          <w:szCs w:val="24"/>
        </w:rPr>
        <w:t>talituse juhataja</w:t>
      </w:r>
      <w:r w:rsidR="00E67051">
        <w:rPr>
          <w:rFonts w:ascii="Times New Roman" w:hAnsi="Times New Roman"/>
          <w:color w:val="000000" w:themeColor="text1"/>
          <w:sz w:val="24"/>
          <w:szCs w:val="24"/>
        </w:rPr>
        <w:fldChar w:fldCharType="end"/>
      </w:r>
    </w:p>
    <w:p w14:paraId="375BD007" w14:textId="77777777" w:rsidR="00B07FB5" w:rsidRPr="00C67089" w:rsidRDefault="00B07FB5" w:rsidP="00B07FB5">
      <w:pPr>
        <w:spacing w:after="0" w:line="240" w:lineRule="auto"/>
        <w:rPr>
          <w:rFonts w:ascii="Times New Roman" w:hAnsi="Times New Roman"/>
          <w:color w:val="000000" w:themeColor="text1"/>
          <w:sz w:val="24"/>
          <w:szCs w:val="24"/>
        </w:rPr>
      </w:pPr>
    </w:p>
    <w:p w14:paraId="7FC7E349" w14:textId="77777777" w:rsidR="00285AE9" w:rsidRDefault="00285AE9" w:rsidP="00C54C47">
      <w:pPr>
        <w:spacing w:after="0"/>
        <w:rPr>
          <w:rFonts w:ascii="Times New Roman" w:hAnsi="Times New Roman"/>
          <w:color w:val="000000" w:themeColor="text1"/>
          <w:sz w:val="24"/>
          <w:szCs w:val="24"/>
        </w:rPr>
      </w:pPr>
    </w:p>
    <w:p w14:paraId="01BDCA8A" w14:textId="77777777" w:rsidR="00842346" w:rsidRDefault="00842346" w:rsidP="00C54C47">
      <w:pPr>
        <w:spacing w:after="0"/>
        <w:rPr>
          <w:rFonts w:ascii="Times New Roman" w:hAnsi="Times New Roman"/>
          <w:color w:val="000000" w:themeColor="text1"/>
          <w:sz w:val="24"/>
          <w:szCs w:val="24"/>
        </w:rPr>
      </w:pPr>
    </w:p>
    <w:p w14:paraId="1E6DF6BA" w14:textId="77777777" w:rsidR="00842346" w:rsidRDefault="00842346" w:rsidP="00C54C47">
      <w:pPr>
        <w:spacing w:after="0"/>
        <w:rPr>
          <w:rFonts w:ascii="Times New Roman" w:hAnsi="Times New Roman"/>
          <w:color w:val="000000" w:themeColor="text1"/>
          <w:sz w:val="24"/>
          <w:szCs w:val="24"/>
        </w:rPr>
      </w:pPr>
    </w:p>
    <w:p w14:paraId="1850E6B4" w14:textId="77777777" w:rsidR="00842346" w:rsidRDefault="00842346" w:rsidP="00C54C47">
      <w:pPr>
        <w:spacing w:after="0"/>
        <w:rPr>
          <w:rFonts w:ascii="Times New Roman" w:hAnsi="Times New Roman"/>
          <w:color w:val="000000" w:themeColor="text1"/>
          <w:sz w:val="24"/>
          <w:szCs w:val="24"/>
        </w:rPr>
      </w:pPr>
    </w:p>
    <w:p w14:paraId="326756A4" w14:textId="77777777" w:rsidR="00BB0A57" w:rsidRDefault="00BB0A57" w:rsidP="00C54C47">
      <w:pPr>
        <w:spacing w:after="0"/>
        <w:rPr>
          <w:rFonts w:ascii="Times New Roman" w:hAnsi="Times New Roman" w:cs="Times New Roman"/>
          <w:sz w:val="24"/>
          <w:szCs w:val="24"/>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3"/>
        <w:gridCol w:w="8208"/>
      </w:tblGrid>
      <w:tr w:rsidR="00BB0A57" w14:paraId="4304C5E0" w14:textId="77777777" w:rsidTr="00BB0A57">
        <w:tc>
          <w:tcPr>
            <w:tcW w:w="1283" w:type="dxa"/>
          </w:tcPr>
          <w:p w14:paraId="41739371" w14:textId="77777777" w:rsidR="00BB0A57" w:rsidRDefault="00BB0A57" w:rsidP="00C54C47">
            <w:pPr>
              <w:rPr>
                <w:rFonts w:ascii="Times New Roman" w:hAnsi="Times New Roman" w:cs="Times New Roman"/>
                <w:sz w:val="24"/>
                <w:szCs w:val="24"/>
              </w:rPr>
            </w:pPr>
            <w:r>
              <w:rPr>
                <w:rFonts w:ascii="Times New Roman" w:hAnsi="Times New Roman" w:cs="Times New Roman"/>
                <w:sz w:val="24"/>
                <w:szCs w:val="24"/>
              </w:rPr>
              <w:t>Koostaja:</w:t>
            </w:r>
          </w:p>
        </w:tc>
        <w:tc>
          <w:tcPr>
            <w:tcW w:w="8208" w:type="dxa"/>
          </w:tcPr>
          <w:p w14:paraId="09EC22EE" w14:textId="5996F03C" w:rsidR="00BB0A57" w:rsidRDefault="00BB0A57" w:rsidP="00BB0A57">
            <w:pPr>
              <w:rPr>
                <w:rFonts w:ascii="Times New Roman" w:hAnsi="Times New Roman" w:cs="Times New Roman"/>
                <w:sz w:val="24"/>
                <w:szCs w:val="24"/>
              </w:rPr>
            </w:pPr>
            <w:r>
              <w:rPr>
                <w:rFonts w:ascii="Times New Roman" w:hAnsi="Times New Roman" w:cs="Times New Roman"/>
                <w:sz w:val="24"/>
                <w:szCs w:val="24"/>
              </w:rPr>
              <w:fldChar w:fldCharType="begin"/>
            </w:r>
            <w:r w:rsidR="00873AF9">
              <w:rPr>
                <w:rFonts w:ascii="Times New Roman" w:hAnsi="Times New Roman" w:cs="Times New Roman"/>
                <w:sz w:val="24"/>
                <w:szCs w:val="24"/>
              </w:rPr>
              <w:instrText xml:space="preserve"> delta_ownerName  \* MERGEFORMAT</w:instrText>
            </w:r>
            <w:r>
              <w:rPr>
                <w:rFonts w:ascii="Times New Roman" w:hAnsi="Times New Roman" w:cs="Times New Roman"/>
                <w:sz w:val="24"/>
                <w:szCs w:val="24"/>
              </w:rPr>
              <w:fldChar w:fldCharType="separate"/>
            </w:r>
            <w:r w:rsidR="00873AF9">
              <w:rPr>
                <w:rFonts w:ascii="Times New Roman" w:hAnsi="Times New Roman" w:cs="Times New Roman"/>
                <w:sz w:val="24"/>
                <w:szCs w:val="24"/>
              </w:rPr>
              <w:t>Tea Tassa</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c>
      </w:tr>
      <w:tr w:rsidR="00BB0A57" w14:paraId="153A9901" w14:textId="77777777" w:rsidTr="00BB0A57">
        <w:tc>
          <w:tcPr>
            <w:tcW w:w="1283" w:type="dxa"/>
          </w:tcPr>
          <w:p w14:paraId="2927EBCE" w14:textId="77777777" w:rsidR="00BB0A57" w:rsidRDefault="00BB0A57" w:rsidP="00C54C47">
            <w:pPr>
              <w:rPr>
                <w:rFonts w:ascii="Times New Roman" w:hAnsi="Times New Roman" w:cs="Times New Roman"/>
                <w:sz w:val="24"/>
                <w:szCs w:val="24"/>
              </w:rPr>
            </w:pPr>
          </w:p>
        </w:tc>
        <w:tc>
          <w:tcPr>
            <w:tcW w:w="8208" w:type="dxa"/>
          </w:tcPr>
          <w:p w14:paraId="7B8E17F9" w14:textId="093D4C89" w:rsidR="00BB0A57" w:rsidRDefault="00BB0A57" w:rsidP="00BB0A57">
            <w:pPr>
              <w:rPr>
                <w:rFonts w:ascii="Times New Roman" w:hAnsi="Times New Roman" w:cs="Times New Roman"/>
                <w:sz w:val="24"/>
                <w:szCs w:val="24"/>
              </w:rPr>
            </w:pPr>
            <w:r>
              <w:rPr>
                <w:rFonts w:ascii="Times New Roman" w:hAnsi="Times New Roman" w:cs="Times New Roman"/>
                <w:sz w:val="24"/>
                <w:szCs w:val="24"/>
              </w:rPr>
              <w:fldChar w:fldCharType="begin"/>
            </w:r>
            <w:r w:rsidR="00873AF9">
              <w:rPr>
                <w:rFonts w:ascii="Times New Roman" w:hAnsi="Times New Roman" w:cs="Times New Roman"/>
                <w:sz w:val="24"/>
                <w:szCs w:val="24"/>
              </w:rPr>
              <w:instrText xml:space="preserve"> delta_ownerPhone  \* MERGEFORMAT</w:instrText>
            </w:r>
            <w:r>
              <w:rPr>
                <w:rFonts w:ascii="Times New Roman" w:hAnsi="Times New Roman" w:cs="Times New Roman"/>
                <w:sz w:val="24"/>
                <w:szCs w:val="24"/>
              </w:rPr>
              <w:fldChar w:fldCharType="separate"/>
            </w:r>
            <w:r w:rsidR="00873AF9">
              <w:rPr>
                <w:rFonts w:ascii="Times New Roman" w:hAnsi="Times New Roman" w:cs="Times New Roman"/>
                <w:sz w:val="24"/>
                <w:szCs w:val="24"/>
              </w:rPr>
              <w:t>517 0526</w:t>
            </w:r>
            <w:r>
              <w:rPr>
                <w:rFonts w:ascii="Times New Roman" w:hAnsi="Times New Roman" w:cs="Times New Roman"/>
                <w:sz w:val="24"/>
                <w:szCs w:val="24"/>
              </w:rPr>
              <w:fldChar w:fldCharType="end"/>
            </w:r>
          </w:p>
        </w:tc>
      </w:tr>
      <w:tr w:rsidR="00BB0A57" w14:paraId="260C6F32" w14:textId="77777777" w:rsidTr="00BB0A57">
        <w:tc>
          <w:tcPr>
            <w:tcW w:w="1283" w:type="dxa"/>
          </w:tcPr>
          <w:p w14:paraId="040C846C" w14:textId="77777777" w:rsidR="00BB0A57" w:rsidRDefault="00BB0A57" w:rsidP="00C54C47">
            <w:pPr>
              <w:rPr>
                <w:rFonts w:ascii="Times New Roman" w:hAnsi="Times New Roman" w:cs="Times New Roman"/>
                <w:sz w:val="24"/>
                <w:szCs w:val="24"/>
              </w:rPr>
            </w:pPr>
          </w:p>
        </w:tc>
        <w:tc>
          <w:tcPr>
            <w:tcW w:w="8208" w:type="dxa"/>
          </w:tcPr>
          <w:p w14:paraId="6F40DA87" w14:textId="18DFD7D0" w:rsidR="00BB0A57" w:rsidRDefault="00BB0A57" w:rsidP="00BB0A57">
            <w:pPr>
              <w:rPr>
                <w:rFonts w:ascii="Times New Roman" w:hAnsi="Times New Roman" w:cs="Times New Roman"/>
                <w:sz w:val="24"/>
                <w:szCs w:val="24"/>
              </w:rPr>
            </w:pPr>
            <w:r>
              <w:rPr>
                <w:rFonts w:ascii="Times New Roman" w:hAnsi="Times New Roman" w:cs="Times New Roman"/>
                <w:sz w:val="24"/>
                <w:szCs w:val="24"/>
              </w:rPr>
              <w:fldChar w:fldCharType="begin"/>
            </w:r>
            <w:r w:rsidR="00873AF9">
              <w:rPr>
                <w:rFonts w:ascii="Times New Roman" w:hAnsi="Times New Roman" w:cs="Times New Roman"/>
                <w:sz w:val="24"/>
                <w:szCs w:val="24"/>
              </w:rPr>
              <w:instrText xml:space="preserve"> delta_ownerEmail  \* MERGEFORMAT</w:instrText>
            </w:r>
            <w:r>
              <w:rPr>
                <w:rFonts w:ascii="Times New Roman" w:hAnsi="Times New Roman" w:cs="Times New Roman"/>
                <w:sz w:val="24"/>
                <w:szCs w:val="24"/>
              </w:rPr>
              <w:fldChar w:fldCharType="separate"/>
            </w:r>
            <w:r w:rsidR="00873AF9">
              <w:rPr>
                <w:rFonts w:ascii="Times New Roman" w:hAnsi="Times New Roman" w:cs="Times New Roman"/>
                <w:sz w:val="24"/>
                <w:szCs w:val="24"/>
              </w:rPr>
              <w:t>Tea.Tassa@rtk.ee</w:t>
            </w:r>
            <w:r>
              <w:rPr>
                <w:rFonts w:ascii="Times New Roman" w:hAnsi="Times New Roman" w:cs="Times New Roman"/>
                <w:sz w:val="24"/>
                <w:szCs w:val="24"/>
              </w:rPr>
              <w:fldChar w:fldCharType="end"/>
            </w:r>
          </w:p>
        </w:tc>
      </w:tr>
    </w:tbl>
    <w:p w14:paraId="46129845" w14:textId="77777777" w:rsidR="00BB0A57" w:rsidRDefault="00BB0A57" w:rsidP="00C54C47">
      <w:pPr>
        <w:spacing w:after="0"/>
        <w:rPr>
          <w:rFonts w:ascii="Times New Roman" w:hAnsi="Times New Roman" w:cs="Times New Roman"/>
          <w:sz w:val="24"/>
          <w:szCs w:val="24"/>
        </w:rPr>
      </w:pPr>
    </w:p>
    <w:p w14:paraId="5268775E" w14:textId="77777777" w:rsidR="00BB0A57" w:rsidRDefault="00BB0A57" w:rsidP="00C54C47">
      <w:pPr>
        <w:spacing w:after="0"/>
        <w:rPr>
          <w:rFonts w:ascii="Times New Roman" w:hAnsi="Times New Roman" w:cs="Times New Roman"/>
          <w:sz w:val="24"/>
          <w:szCs w:val="24"/>
        </w:rPr>
      </w:pPr>
    </w:p>
    <w:sectPr w:rsidR="00BB0A57" w:rsidSect="007C15B0">
      <w:pgSz w:w="11906" w:h="16838"/>
      <w:pgMar w:top="851" w:right="851" w:bottom="851" w:left="1701" w:header="709" w:footer="5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075B6" w14:textId="77777777" w:rsidR="00EB595B" w:rsidRDefault="00EB595B" w:rsidP="00B07FB5">
      <w:pPr>
        <w:spacing w:after="0" w:line="240" w:lineRule="auto"/>
      </w:pPr>
      <w:r>
        <w:separator/>
      </w:r>
    </w:p>
  </w:endnote>
  <w:endnote w:type="continuationSeparator" w:id="0">
    <w:p w14:paraId="0627431E" w14:textId="77777777" w:rsidR="00EB595B" w:rsidRDefault="00EB595B" w:rsidP="00B07FB5">
      <w:pPr>
        <w:spacing w:after="0" w:line="240" w:lineRule="auto"/>
      </w:pPr>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7E4BB" w14:textId="77777777" w:rsidR="00EB595B" w:rsidRDefault="00EB595B" w:rsidP="00B07FB5">
      <w:pPr>
        <w:spacing w:after="0" w:line="240" w:lineRule="auto"/>
      </w:pPr>
      <w:r>
        <w:separator/>
      </w:r>
    </w:p>
  </w:footnote>
  <w:footnote w:type="continuationSeparator" w:id="0">
    <w:p w14:paraId="07B1BE9A" w14:textId="77777777" w:rsidR="00EB595B" w:rsidRDefault="00EB595B" w:rsidP="00B07F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6E3031"/>
    <w:multiLevelType w:val="multilevel"/>
    <w:tmpl w:val="FFFFFFFF"/>
    <w:lvl w:ilvl="0">
      <w:start w:val="1"/>
      <w:numFmt w:val="decimal"/>
      <w:lvlText w:val="%1."/>
      <w:lvlJc w:val="left"/>
      <w:pPr>
        <w:ind w:left="360" w:hanging="360"/>
      </w:pPr>
      <w:rPr>
        <w:rFonts w:cs="Times New Roman" w:hint="default"/>
        <w:b/>
        <w:bCs/>
        <w:color w:val="auto"/>
      </w:rPr>
    </w:lvl>
    <w:lvl w:ilvl="1">
      <w:start w:val="1"/>
      <w:numFmt w:val="decimal"/>
      <w:lvlText w:val="%1.%2."/>
      <w:lvlJc w:val="left"/>
      <w:pPr>
        <w:ind w:left="792" w:hanging="432"/>
      </w:pPr>
      <w:rPr>
        <w:rFonts w:cs="Times New Roman" w:hint="default"/>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95B"/>
    <w:rsid w:val="000011E2"/>
    <w:rsid w:val="000252EC"/>
    <w:rsid w:val="00026E0C"/>
    <w:rsid w:val="0004169D"/>
    <w:rsid w:val="00061F8E"/>
    <w:rsid w:val="000C1FF2"/>
    <w:rsid w:val="00100B6A"/>
    <w:rsid w:val="00123F90"/>
    <w:rsid w:val="00194A32"/>
    <w:rsid w:val="00267B9E"/>
    <w:rsid w:val="00285AE9"/>
    <w:rsid w:val="002E071F"/>
    <w:rsid w:val="002F242B"/>
    <w:rsid w:val="00310A1C"/>
    <w:rsid w:val="00326AA5"/>
    <w:rsid w:val="00396CAA"/>
    <w:rsid w:val="003B1E96"/>
    <w:rsid w:val="004847B4"/>
    <w:rsid w:val="004B27DB"/>
    <w:rsid w:val="0054633F"/>
    <w:rsid w:val="00585ECB"/>
    <w:rsid w:val="005959CF"/>
    <w:rsid w:val="005A7E30"/>
    <w:rsid w:val="00645E16"/>
    <w:rsid w:val="00657465"/>
    <w:rsid w:val="006B44F1"/>
    <w:rsid w:val="006D508A"/>
    <w:rsid w:val="00704085"/>
    <w:rsid w:val="007077B3"/>
    <w:rsid w:val="0072230D"/>
    <w:rsid w:val="007272FE"/>
    <w:rsid w:val="007355A0"/>
    <w:rsid w:val="0073668B"/>
    <w:rsid w:val="007B7BD9"/>
    <w:rsid w:val="007C15B0"/>
    <w:rsid w:val="008038CF"/>
    <w:rsid w:val="00837D55"/>
    <w:rsid w:val="008416C2"/>
    <w:rsid w:val="00842346"/>
    <w:rsid w:val="008474C4"/>
    <w:rsid w:val="00872C67"/>
    <w:rsid w:val="00873AF9"/>
    <w:rsid w:val="00891137"/>
    <w:rsid w:val="008C3922"/>
    <w:rsid w:val="008F479E"/>
    <w:rsid w:val="00911C7A"/>
    <w:rsid w:val="00995E76"/>
    <w:rsid w:val="009A7300"/>
    <w:rsid w:val="009F47BA"/>
    <w:rsid w:val="00A32B2F"/>
    <w:rsid w:val="00A32C83"/>
    <w:rsid w:val="00A7380D"/>
    <w:rsid w:val="00A9233F"/>
    <w:rsid w:val="00B07FB5"/>
    <w:rsid w:val="00B51F66"/>
    <w:rsid w:val="00B54E59"/>
    <w:rsid w:val="00B608DD"/>
    <w:rsid w:val="00BA620D"/>
    <w:rsid w:val="00BB0A57"/>
    <w:rsid w:val="00BF6083"/>
    <w:rsid w:val="00C10301"/>
    <w:rsid w:val="00C54C47"/>
    <w:rsid w:val="00C67089"/>
    <w:rsid w:val="00CC0DEF"/>
    <w:rsid w:val="00CE7D06"/>
    <w:rsid w:val="00D072A1"/>
    <w:rsid w:val="00D21116"/>
    <w:rsid w:val="00D242F4"/>
    <w:rsid w:val="00D3316B"/>
    <w:rsid w:val="00D7514D"/>
    <w:rsid w:val="00DE7375"/>
    <w:rsid w:val="00E6410A"/>
    <w:rsid w:val="00E67051"/>
    <w:rsid w:val="00E97AD0"/>
    <w:rsid w:val="00EB0AFF"/>
    <w:rsid w:val="00EB595B"/>
    <w:rsid w:val="00EC5B33"/>
    <w:rsid w:val="00EF6D46"/>
    <w:rsid w:val="00F26D1E"/>
    <w:rsid w:val="00FC67EB"/>
    <w:rsid w:val="00FD132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470FF"/>
  <w15:chartTrackingRefBased/>
  <w15:docId w15:val="{F5A6F3E1-BE0D-49A8-ABE0-9C257CC3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F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07FB5"/>
  </w:style>
  <w:style w:type="paragraph" w:styleId="Footer">
    <w:name w:val="footer"/>
    <w:basedOn w:val="Normal"/>
    <w:link w:val="FooterChar"/>
    <w:uiPriority w:val="99"/>
    <w:unhideWhenUsed/>
    <w:rsid w:val="00B07F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B07FB5"/>
  </w:style>
  <w:style w:type="table" w:styleId="TableGrid">
    <w:name w:val="Table Grid"/>
    <w:basedOn w:val="TableNormal"/>
    <w:uiPriority w:val="39"/>
    <w:rsid w:val="00B07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B07FB5"/>
    <w:rPr>
      <w:color w:val="000080"/>
      <w:u w:val="single"/>
    </w:rPr>
  </w:style>
  <w:style w:type="paragraph" w:customStyle="1" w:styleId="Jalus1">
    <w:name w:val="Jalus1"/>
    <w:autoRedefine/>
    <w:qFormat/>
    <w:rsid w:val="00B07FB5"/>
    <w:pPr>
      <w:widowControl w:val="0"/>
      <w:suppressAutoHyphens/>
      <w:spacing w:after="0" w:line="240" w:lineRule="auto"/>
    </w:pPr>
    <w:rPr>
      <w:rFonts w:ascii="Times New Roman" w:eastAsia="SimSun" w:hAnsi="Times New Roman" w:cs="Mangal"/>
      <w:kern w:val="1"/>
      <w:sz w:val="20"/>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6406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Kätlin Tilk</dc:creator>
  <cp:keywords/>
  <dc:description/>
  <cp:lastModifiedBy>mso service</cp:lastModifiedBy>
  <cp:revision>2</cp:revision>
  <dcterms:created xsi:type="dcterms:W3CDTF">2025-09-26T06:19:00Z</dcterms:created>
  <dcterms:modified xsi:type="dcterms:W3CDTF">2025-09-26T06:19:00Z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EndDate">
    <vt:lpwstr>{JP kehtiv kuni}</vt:lpwstr>
  </property>
  <property fmtid="{D5CDD505-2E9C-101B-9397-08002B2CF9AE}" pid="3" name="delta_recipientName.1">
    <vt:lpwstr>{Asutus}</vt:lpwstr>
  </property>
  <property fmtid="{D5CDD505-2E9C-101B-9397-08002B2CF9AE}" pid="4" name="delta_recipientPersonName.2">
    <vt:lpwstr>{Isik}</vt:lpwstr>
  </property>
  <property fmtid="{D5CDD505-2E9C-101B-9397-08002B2CF9AE}" pid="5" name="delta_recipientPersonName.3">
    <vt:lpwstr>{Isik}</vt:lpwstr>
  </property>
  <property fmtid="{D5CDD505-2E9C-101B-9397-08002B2CF9AE}" pid="6" name="delta_recipientName.2">
    <vt:lpwstr>{Asutus}</vt:lpwstr>
  </property>
  <property fmtid="{D5CDD505-2E9C-101B-9397-08002B2CF9AE}" pid="7" name="delta_recipientName.3">
    <vt:lpwstr>{Asutus}</vt:lpwstr>
  </property>
  <property fmtid="{D5CDD505-2E9C-101B-9397-08002B2CF9AE}" pid="8" name="delta_recipientEmail.1">
    <vt:lpwstr>{E-post}</vt:lpwstr>
  </property>
  <property fmtid="{D5CDD505-2E9C-101B-9397-08002B2CF9AE}" pid="9" name="delta_recipentEmail.2">
    <vt:lpwstr>{E-post}</vt:lpwstr>
  </property>
  <property fmtid="{D5CDD505-2E9C-101B-9397-08002B2CF9AE}" pid="10" name="delta_recipientEmail.3">
    <vt:lpwstr>{E-post}</vt:lpwstr>
  </property>
  <property fmtid="{D5CDD505-2E9C-101B-9397-08002B2CF9AE}" pid="11" name="delta_docName">
    <vt:lpwstr>{Pealkiri}</vt:lpwstr>
  </property>
  <property fmtid="{D5CDD505-2E9C-101B-9397-08002B2CF9AE}" pid="12" name="delta_signerName">
    <vt:lpwstr>{Allkirjastaja}</vt:lpwstr>
  </property>
  <property fmtid="{D5CDD505-2E9C-101B-9397-08002B2CF9AE}" pid="13" name="delta_signerJobTitle">
    <vt:lpwstr>{ametinimetus}</vt:lpwstr>
  </property>
  <property fmtid="{D5CDD505-2E9C-101B-9397-08002B2CF9AE}" pid="14" name="delta_additionalRecipientName.10">
    <vt:lpwstr>{Lisaadressaat}</vt:lpwstr>
  </property>
  <property fmtid="{D5CDD505-2E9C-101B-9397-08002B2CF9AE}" pid="15" name="delta_additionalRecipientName.11">
    <vt:lpwstr>{Lisaadressaat}</vt:lpwstr>
  </property>
  <property fmtid="{D5CDD505-2E9C-101B-9397-08002B2CF9AE}" pid="16" name="delta_additionalRecipientName.12">
    <vt:lpwstr>{Lisaadressaat}</vt:lpwstr>
  </property>
  <property fmtid="{D5CDD505-2E9C-101B-9397-08002B2CF9AE}" pid="17" name="delta_additionalRecipientName.13">
    <vt:lpwstr>{Lisaadressaat}</vt:lpwstr>
  </property>
  <property fmtid="{D5CDD505-2E9C-101B-9397-08002B2CF9AE}" pid="18" name="delta_additionalRecipientName.14">
    <vt:lpwstr>{Lisaadressaat}</vt:lpwstr>
  </property>
  <property fmtid="{D5CDD505-2E9C-101B-9397-08002B2CF9AE}" pid="19" name="delta_additionalRecipientName.1">
    <vt:lpwstr>{Lisaadressaat}</vt:lpwstr>
  </property>
  <property fmtid="{D5CDD505-2E9C-101B-9397-08002B2CF9AE}" pid="20" name="delta_additionalRecipientName.3">
    <vt:lpwstr>{Lisaadressaat}</vt:lpwstr>
  </property>
  <property fmtid="{D5CDD505-2E9C-101B-9397-08002B2CF9AE}" pid="21" name="delta_additionalRecipientName.4">
    <vt:lpwstr>{Lisaadressaat}</vt:lpwstr>
  </property>
  <property fmtid="{D5CDD505-2E9C-101B-9397-08002B2CF9AE}" pid="22" name="delta_additionalRecipientName.5">
    <vt:lpwstr>{Lisaadressaat}</vt:lpwstr>
  </property>
  <property fmtid="{D5CDD505-2E9C-101B-9397-08002B2CF9AE}" pid="23" name="delta_additionalRecipientName.2">
    <vt:lpwstr>{Lisaadressaat}</vt:lpwstr>
  </property>
  <property fmtid="{D5CDD505-2E9C-101B-9397-08002B2CF9AE}" pid="24" name="delta_additionalRecipientName.6">
    <vt:lpwstr>{Lisaadressaat}</vt:lpwstr>
  </property>
  <property fmtid="{D5CDD505-2E9C-101B-9397-08002B2CF9AE}" pid="25" name="delta_additionalRecipientName.7">
    <vt:lpwstr>{Lisaadressaat}</vt:lpwstr>
  </property>
  <property fmtid="{D5CDD505-2E9C-101B-9397-08002B2CF9AE}" pid="26" name="delta_additionalRecipientName.8">
    <vt:lpwstr>{Lisaadressaat}</vt:lpwstr>
  </property>
  <property fmtid="{D5CDD505-2E9C-101B-9397-08002B2CF9AE}" pid="27" name="delta_additionalRecipientName.9">
    <vt:lpwstr>{Lisaadressaat}</vt:lpwstr>
  </property>
  <property fmtid="{D5CDD505-2E9C-101B-9397-08002B2CF9AE}" pid="28" name="delta_ownerName">
    <vt:lpwstr>{Koostaja nimi}</vt:lpwstr>
  </property>
  <property fmtid="{D5CDD505-2E9C-101B-9397-08002B2CF9AE}" pid="29" name="delta_ownerPhone">
    <vt:lpwstr>{Koostaja telefon}</vt:lpwstr>
  </property>
  <property fmtid="{D5CDD505-2E9C-101B-9397-08002B2CF9AE}" pid="30" name="delta_ownerEmail">
    <vt:lpwstr>{Koostaja e-post}</vt:lpwstr>
  </property>
  <property fmtid="{D5CDD505-2E9C-101B-9397-08002B2CF9AE}" pid="31" name="delta_senderRegDate">
    <vt:lpwstr>{saatja  kpv}</vt:lpwstr>
  </property>
  <property fmtid="{D5CDD505-2E9C-101B-9397-08002B2CF9AE}" pid="32" name="delta_senderRegNumber">
    <vt:lpwstr>{saatja reg nr}</vt:lpwstr>
  </property>
  <property fmtid="{D5CDD505-2E9C-101B-9397-08002B2CF9AE}" pid="33" name="delta_regDateTime">
    <vt:lpwstr>{reg kpv}</vt:lpwstr>
  </property>
  <property fmtid="{D5CDD505-2E9C-101B-9397-08002B2CF9AE}" pid="34" name="delta_regNumber">
    <vt:lpwstr>{viit}</vt:lpwstr>
  </property>
  <property fmtid="{D5CDD505-2E9C-101B-9397-08002B2CF9AE}" pid="35" name="delta_accessRestrictionReason">
    <vt:lpwstr>{JP alus}</vt:lpwstr>
  </property>
  <property fmtid="{D5CDD505-2E9C-101B-9397-08002B2CF9AE}" pid="36" name="delta_recipientPersonName.1">
    <vt:lpwstr>{Isik}</vt:lpwstr>
  </property>
  <property fmtid="{D5CDD505-2E9C-101B-9397-08002B2CF9AE}" pid="37" name="delta_accessRestrictionBeginDate">
    <vt:lpwstr>{JP kehtiv alates}</vt:lpwstr>
  </property>
  <property fmtid="{D5CDD505-2E9C-101B-9397-08002B2CF9AE}" pid="38" name="delta_additionalRecipientName.15">
    <vt:lpwstr>{Lisaadressaat}</vt:lpwstr>
  </property>
  <property fmtid="{D5CDD505-2E9C-101B-9397-08002B2CF9AE}" pid="39" name="delta_recipientStreetHouse.1">
    <vt:lpwstr>{aadress}</vt:lpwstr>
  </property>
  <property fmtid="{D5CDD505-2E9C-101B-9397-08002B2CF9AE}" pid="40" name="delta_recipientPostalCity.1">
    <vt:lpwstr>{indeks linn}</vt:lpwstr>
  </property>
  <property fmtid="{D5CDD505-2E9C-101B-9397-08002B2CF9AE}" pid="41" name="delta_selfFinancing">
    <vt:lpwstr>{omafinantseering}</vt:lpwstr>
  </property>
  <property fmtid="{D5CDD505-2E9C-101B-9397-08002B2CF9AE}" pid="42" name="delta_recipientId.1">
    <vt:lpwstr>{registrikood}</vt:lpwstr>
  </property>
  <property fmtid="{D5CDD505-2E9C-101B-9397-08002B2CF9AE}" pid="43" name="delta_projectTotalCost">
    <vt:lpwstr>{projekti kogumaksumus}</vt:lpwstr>
  </property>
  <property fmtid="{D5CDD505-2E9C-101B-9397-08002B2CF9AE}" pid="44" name="delta_periodEnd">
    <vt:lpwstr>{abikõlblikkuse perioodi lõppkpv}</vt:lpwstr>
  </property>
  <property fmtid="{D5CDD505-2E9C-101B-9397-08002B2CF9AE}" pid="45" name="delta_periodStart">
    <vt:lpwstr>{abikõlblikkuse perioodi alguskpv}</vt:lpwstr>
  </property>
  <property fmtid="{D5CDD505-2E9C-101B-9397-08002B2CF9AE}" pid="46" name="delta_supportMaximum">
    <vt:lpwstr>{toetus maksimaalselt}</vt:lpwstr>
  </property>
  <property fmtid="{D5CDD505-2E9C-101B-9397-08002B2CF9AE}" pid="47" name="delta_projectCode">
    <vt:lpwstr>{projektikood}</vt:lpwstr>
  </property>
  <property fmtid="{D5CDD505-2E9C-101B-9397-08002B2CF9AE}" pid="48" name="MSIP_Label_defa4170-0d19-0005-0004-bc88714345d2_Enabled">
    <vt:lpwstr>true</vt:lpwstr>
  </property>
  <property fmtid="{D5CDD505-2E9C-101B-9397-08002B2CF9AE}" pid="49" name="MSIP_Label_defa4170-0d19-0005-0004-bc88714345d2_SetDate">
    <vt:lpwstr>2025-08-14T10:59:02Z</vt:lpwstr>
  </property>
  <property fmtid="{D5CDD505-2E9C-101B-9397-08002B2CF9AE}" pid="50" name="MSIP_Label_defa4170-0d19-0005-0004-bc88714345d2_Method">
    <vt:lpwstr>Standard</vt:lpwstr>
  </property>
  <property fmtid="{D5CDD505-2E9C-101B-9397-08002B2CF9AE}" pid="51" name="MSIP_Label_defa4170-0d19-0005-0004-bc88714345d2_Name">
    <vt:lpwstr>defa4170-0d19-0005-0004-bc88714345d2</vt:lpwstr>
  </property>
  <property fmtid="{D5CDD505-2E9C-101B-9397-08002B2CF9AE}" pid="52" name="MSIP_Label_defa4170-0d19-0005-0004-bc88714345d2_SiteId">
    <vt:lpwstr>8fe098d2-428d-4bd4-9803-7195fe96f0e2</vt:lpwstr>
  </property>
  <property fmtid="{D5CDD505-2E9C-101B-9397-08002B2CF9AE}" pid="53" name="MSIP_Label_defa4170-0d19-0005-0004-bc88714345d2_ActionId">
    <vt:lpwstr>9e7e8d3c-c82f-4019-b2e8-309165224f13</vt:lpwstr>
  </property>
  <property fmtid="{D5CDD505-2E9C-101B-9397-08002B2CF9AE}" pid="54" name="MSIP_Label_defa4170-0d19-0005-0004-bc88714345d2_ContentBits">
    <vt:lpwstr>0</vt:lpwstr>
  </property>
  <property fmtid="{D5CDD505-2E9C-101B-9397-08002B2CF9AE}" pid="55" name="MSIP_Label_defa4170-0d19-0005-0004-bc88714345d2_Tag">
    <vt:lpwstr>10, 3, 0, 1</vt:lpwstr>
  </property>
</Properties>
</file>